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png" ContentType="image/png"/>
  <Override PartName="/word/media/image2.wmf" ContentType="image/x-wmf"/>
  <Override PartName="/word/media/image3.wmf" ContentType="image/x-wmf"/>
  <Override PartName="/word/media/image4.wmf" ContentType="image/x-wmf"/>
  <Override PartName="/word/media/image5.wmf" ContentType="image/x-wmf"/>
  <Override PartName="/word/media/image6.png" ContentType="image/png"/>
  <Override PartName="/word/media/image7.png" ContentType="image/png"/>
  <Override PartName="/word/header1.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word/_rels/header1.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Standard"/>
        <w:jc w:val="center"/>
        <w:rPr>
          <w:rFonts w:ascii="Arial" w:hAnsi="Arial"/>
          <w:sz w:val="18"/>
          <w:szCs w:val="20"/>
        </w:rPr>
      </w:pPr>
      <w:r>
        <w:rPr>
          <w:rFonts w:ascii="Arial" w:hAnsi="Arial"/>
          <w:sz w:val="18"/>
          <w:szCs w:val="20"/>
        </w:rPr>
      </w:r>
    </w:p>
    <w:p>
      <w:pPr>
        <w:pStyle w:val="Standard"/>
        <w:jc w:val="both"/>
        <w:rPr>
          <w:rFonts w:ascii="Arial" w:hAnsi="Arial"/>
          <w:sz w:val="18"/>
          <w:szCs w:val="20"/>
        </w:rPr>
      </w:pPr>
      <w:r>
        <w:rPr>
          <w:rFonts w:ascii="Arial" w:hAnsi="Arial"/>
          <w:sz w:val="18"/>
          <w:szCs w:val="20"/>
        </w:rPr>
      </w:r>
    </w:p>
    <w:p>
      <w:pPr>
        <w:pStyle w:val="Standard"/>
        <w:rPr>
          <w:rFonts w:ascii="Arial" w:hAnsi="Arial"/>
          <w:sz w:val="18"/>
          <w:szCs w:val="20"/>
        </w:rPr>
      </w:pPr>
      <w:r>
        <w:rPr>
          <w:rFonts w:ascii="Arial" w:hAnsi="Arial"/>
          <w:sz w:val="18"/>
          <w:szCs w:val="20"/>
        </w:rPr>
      </w:r>
    </w:p>
    <w:p>
      <w:pPr>
        <w:pStyle w:val="Standard"/>
        <w:rPr>
          <w:rFonts w:ascii="Arial" w:hAnsi="Arial"/>
          <w:sz w:val="18"/>
          <w:szCs w:val="20"/>
        </w:rPr>
      </w:pPr>
      <w:r>
        <w:rPr>
          <w:rFonts w:ascii="Arial" w:hAnsi="Arial"/>
          <w:sz w:val="18"/>
          <w:szCs w:val="20"/>
        </w:rPr>
      </w:r>
    </w:p>
    <w:p>
      <w:pPr>
        <w:pStyle w:val="Standard"/>
        <w:rPr>
          <w:rFonts w:ascii="Arial" w:hAnsi="Arial"/>
          <w:sz w:val="18"/>
          <w:szCs w:val="20"/>
        </w:rPr>
      </w:pPr>
      <w:r>
        <w:rPr>
          <w:rFonts w:ascii="Arial" w:hAnsi="Arial"/>
          <w:sz w:val="18"/>
          <w:szCs w:val="20"/>
        </w:rPr>
      </w:r>
    </w:p>
    <w:p>
      <w:pPr>
        <w:pStyle w:val="Standard"/>
        <w:rPr>
          <w:rFonts w:ascii="Arial" w:hAnsi="Arial"/>
          <w:sz w:val="18"/>
          <w:szCs w:val="20"/>
        </w:rPr>
      </w:pPr>
      <w:r>
        <w:rPr>
          <w:rFonts w:ascii="Arial" w:hAnsi="Arial"/>
          <w:sz w:val="18"/>
          <w:szCs w:val="20"/>
        </w:rPr>
      </w:r>
    </w:p>
    <w:p>
      <w:pPr>
        <w:pStyle w:val="Standard"/>
        <w:rPr>
          <w:rFonts w:ascii="Arial" w:hAnsi="Arial"/>
          <w:sz w:val="18"/>
          <w:szCs w:val="20"/>
        </w:rPr>
      </w:pPr>
      <w:r>
        <w:rPr>
          <w:rFonts w:ascii="Arial" w:hAnsi="Arial"/>
          <w:sz w:val="18"/>
          <w:szCs w:val="20"/>
        </w:rPr>
      </w:r>
    </w:p>
    <w:p>
      <w:pPr>
        <w:pStyle w:val="Standard"/>
        <w:jc w:val="center"/>
        <w:rPr>
          <w:rFonts w:ascii="Arial" w:hAnsi="Arial"/>
          <w:sz w:val="32"/>
          <w:szCs w:val="40"/>
        </w:rPr>
      </w:pPr>
      <w:r>
        <w:rPr>
          <w:rFonts w:ascii="Arial" w:hAnsi="Arial"/>
          <w:sz w:val="32"/>
          <w:szCs w:val="40"/>
        </w:rPr>
        <w:t>PIANO D'AZIONE PER L’AGGLOMERATO DI CAGLIARI</w:t>
      </w:r>
    </w:p>
    <w:p>
      <w:pPr>
        <w:pStyle w:val="Standard"/>
        <w:jc w:val="center"/>
        <w:rPr>
          <w:rFonts w:ascii="Arial" w:hAnsi="Arial"/>
          <w:sz w:val="32"/>
          <w:szCs w:val="40"/>
        </w:rPr>
      </w:pPr>
      <w:r>
        <w:rPr>
          <w:rFonts w:ascii="Arial" w:hAnsi="Arial"/>
          <w:sz w:val="32"/>
          <w:szCs w:val="40"/>
        </w:rPr>
        <w:t>ai sensi del D.Lgs. 194/05</w:t>
      </w:r>
    </w:p>
    <w:p>
      <w:pPr>
        <w:pStyle w:val="Standard"/>
        <w:jc w:val="center"/>
        <w:rPr>
          <w:rFonts w:ascii="Arial" w:hAnsi="Arial"/>
          <w:sz w:val="32"/>
          <w:szCs w:val="40"/>
        </w:rPr>
      </w:pPr>
      <w:r>
        <w:rPr>
          <w:rFonts w:ascii="Arial" w:hAnsi="Arial"/>
          <w:sz w:val="32"/>
          <w:szCs w:val="40"/>
        </w:rPr>
      </w:r>
    </w:p>
    <w:p>
      <w:pPr>
        <w:pStyle w:val="Standard"/>
        <w:jc w:val="center"/>
        <w:rPr>
          <w:rFonts w:ascii="Arial" w:hAnsi="Arial"/>
          <w:sz w:val="32"/>
          <w:szCs w:val="40"/>
        </w:rPr>
      </w:pPr>
      <w:r>
        <w:rPr>
          <w:rFonts w:ascii="Arial" w:hAnsi="Arial"/>
          <w:sz w:val="32"/>
          <w:szCs w:val="40"/>
        </w:rPr>
        <w:t>Sintesi Non Tecnica</w:t>
      </w:r>
    </w:p>
    <w:p>
      <w:pPr>
        <w:pStyle w:val="Standard"/>
        <w:jc w:val="center"/>
        <w:rPr>
          <w:rFonts w:ascii="Arial" w:hAnsi="Arial"/>
          <w:sz w:val="32"/>
          <w:szCs w:val="40"/>
        </w:rPr>
      </w:pPr>
      <w:r>
        <w:rPr>
          <w:rFonts w:ascii="Arial" w:hAnsi="Arial"/>
          <w:sz w:val="32"/>
          <w:szCs w:val="40"/>
        </w:rPr>
      </w:r>
    </w:p>
    <w:p>
      <w:pPr>
        <w:pStyle w:val="Standard"/>
        <w:jc w:val="center"/>
        <w:rPr>
          <w:rFonts w:ascii="Arial" w:hAnsi="Arial"/>
          <w:sz w:val="32"/>
          <w:szCs w:val="40"/>
        </w:rPr>
      </w:pPr>
      <w:r>
        <w:rPr>
          <w:rFonts w:ascii="Arial" w:hAnsi="Arial"/>
          <w:sz w:val="32"/>
          <w:szCs w:val="40"/>
        </w:rPr>
        <w:t>SNT_PA</w:t>
      </w:r>
    </w:p>
    <w:p>
      <w:pPr>
        <w:pStyle w:val="Standard"/>
        <w:rPr>
          <w:rFonts w:ascii="Arial" w:hAnsi="Arial"/>
          <w:sz w:val="18"/>
          <w:szCs w:val="20"/>
        </w:rPr>
      </w:pPr>
      <w:r>
        <w:rPr>
          <w:rFonts w:ascii="Arial" w:hAnsi="Arial"/>
          <w:sz w:val="18"/>
          <w:szCs w:val="20"/>
        </w:rPr>
      </w:r>
    </w:p>
    <w:p>
      <w:pPr>
        <w:pStyle w:val="Standard"/>
        <w:rPr>
          <w:rFonts w:ascii="Arial" w:hAnsi="Arial"/>
          <w:sz w:val="18"/>
          <w:szCs w:val="20"/>
        </w:rPr>
      </w:pPr>
      <w:r>
        <w:rPr>
          <w:rFonts w:ascii="Arial" w:hAnsi="Arial"/>
          <w:sz w:val="18"/>
          <w:szCs w:val="20"/>
        </w:rPr>
      </w:r>
    </w:p>
    <w:p>
      <w:pPr>
        <w:pStyle w:val="Standard"/>
        <w:rPr>
          <w:rFonts w:ascii="Arial" w:hAnsi="Arial"/>
          <w:sz w:val="18"/>
          <w:szCs w:val="20"/>
        </w:rPr>
      </w:pPr>
      <w:r>
        <w:rPr>
          <w:rFonts w:ascii="Arial" w:hAnsi="Arial"/>
          <w:sz w:val="18"/>
          <w:szCs w:val="20"/>
        </w:rPr>
      </w:r>
    </w:p>
    <w:p>
      <w:pPr>
        <w:pStyle w:val="Standard"/>
        <w:rPr>
          <w:rFonts w:ascii="Arial" w:hAnsi="Arial"/>
          <w:sz w:val="18"/>
          <w:szCs w:val="20"/>
        </w:rPr>
      </w:pPr>
      <w:r>
        <w:rPr>
          <w:rFonts w:ascii="Arial" w:hAnsi="Arial"/>
          <w:sz w:val="18"/>
          <w:szCs w:val="20"/>
        </w:rPr>
      </w:r>
    </w:p>
    <w:p>
      <w:pPr>
        <w:pStyle w:val="Standard"/>
        <w:rPr>
          <w:rFonts w:ascii="Arial" w:hAnsi="Arial"/>
          <w:sz w:val="18"/>
          <w:szCs w:val="20"/>
        </w:rPr>
      </w:pPr>
      <w:r>
        <w:rPr>
          <w:rFonts w:ascii="Arial" w:hAnsi="Arial"/>
          <w:sz w:val="18"/>
          <w:szCs w:val="20"/>
        </w:rPr>
      </w:r>
    </w:p>
    <w:p>
      <w:pPr>
        <w:pStyle w:val="Standard"/>
        <w:rPr>
          <w:rFonts w:ascii="Arial" w:hAnsi="Arial"/>
          <w:sz w:val="18"/>
          <w:szCs w:val="20"/>
        </w:rPr>
      </w:pPr>
      <w:r>
        <w:rPr>
          <w:rFonts w:ascii="Arial" w:hAnsi="Arial"/>
          <w:sz w:val="18"/>
          <w:szCs w:val="20"/>
        </w:rPr>
      </w:r>
    </w:p>
    <w:p>
      <w:pPr>
        <w:pStyle w:val="Standard"/>
        <w:rPr>
          <w:rFonts w:ascii="Arial" w:hAnsi="Arial"/>
          <w:sz w:val="18"/>
          <w:szCs w:val="20"/>
        </w:rPr>
      </w:pPr>
      <w:r>
        <w:rPr>
          <w:rFonts w:ascii="Arial" w:hAnsi="Arial"/>
          <w:sz w:val="18"/>
          <w:szCs w:val="20"/>
        </w:rPr>
      </w:r>
    </w:p>
    <w:p>
      <w:pPr>
        <w:pStyle w:val="Standard"/>
        <w:rPr>
          <w:rFonts w:ascii="Arial" w:hAnsi="Arial"/>
          <w:sz w:val="18"/>
          <w:szCs w:val="20"/>
        </w:rPr>
      </w:pPr>
      <w:r>
        <w:rPr>
          <w:rFonts w:ascii="Arial" w:hAnsi="Arial"/>
          <w:sz w:val="18"/>
          <w:szCs w:val="20"/>
        </w:rPr>
      </w:r>
    </w:p>
    <w:p>
      <w:pPr>
        <w:pStyle w:val="Standard"/>
        <w:rPr>
          <w:rFonts w:ascii="Arial" w:hAnsi="Arial"/>
          <w:sz w:val="18"/>
          <w:szCs w:val="20"/>
        </w:rPr>
      </w:pPr>
      <w:r>
        <w:rPr>
          <w:rFonts w:ascii="Arial" w:hAnsi="Arial"/>
          <w:sz w:val="18"/>
          <w:szCs w:val="20"/>
        </w:rPr>
      </w:r>
    </w:p>
    <w:p>
      <w:pPr>
        <w:pStyle w:val="Standard"/>
        <w:rPr>
          <w:rFonts w:ascii="Arial" w:hAnsi="Arial"/>
          <w:sz w:val="18"/>
          <w:szCs w:val="20"/>
        </w:rPr>
      </w:pPr>
      <w:r>
        <w:rPr>
          <w:rFonts w:ascii="Arial" w:hAnsi="Arial"/>
          <w:sz w:val="18"/>
          <w:szCs w:val="20"/>
        </w:rPr>
      </w:r>
    </w:p>
    <w:p>
      <w:pPr>
        <w:pStyle w:val="Normal"/>
        <w:rPr>
          <w:rFonts w:ascii="Arial" w:hAnsi="Arial"/>
          <w:sz w:val="18"/>
          <w:szCs w:val="20"/>
        </w:rPr>
      </w:pPr>
      <w:r>
        <w:rPr>
          <w:rFonts w:ascii="Arial" w:hAnsi="Arial"/>
          <w:sz w:val="18"/>
          <w:szCs w:val="20"/>
        </w:rPr>
      </w:r>
      <w:r>
        <w:br w:type="page"/>
      </w:r>
    </w:p>
    <w:p>
      <w:pPr>
        <w:pStyle w:val="Standard"/>
        <w:spacing w:before="0" w:after="0"/>
        <w:rPr>
          <w:rFonts w:ascii="Arial" w:hAnsi="Arial"/>
          <w:sz w:val="18"/>
          <w:szCs w:val="20"/>
        </w:rPr>
      </w:pPr>
      <w:r>
        <w:rPr>
          <w:rFonts w:ascii="Arial" w:hAnsi="Arial"/>
          <w:sz w:val="18"/>
          <w:szCs w:val="20"/>
        </w:rPr>
      </w:r>
    </w:p>
    <w:p>
      <w:pPr>
        <w:pStyle w:val="Standard"/>
        <w:spacing w:lineRule="atLeast" w:line="283"/>
        <w:jc w:val="both"/>
        <w:rPr>
          <w:rFonts w:ascii="Arial" w:hAnsi="Arial"/>
          <w:sz w:val="18"/>
          <w:szCs w:val="20"/>
        </w:rPr>
      </w:pPr>
      <w:r>
        <w:rPr>
          <w:rFonts w:ascii="Arial" w:hAnsi="Arial"/>
          <w:sz w:val="18"/>
          <w:szCs w:val="20"/>
        </w:rPr>
        <w:t>Il presente lavoro è stato predisposto dalla Città Metropolitana di Cagliari nell’ambito delle competenze attribuite sulla base della delibera R.A.S. 40/24 del 22/07/2008 che attribuiva la nomina di Autorità alla ex – Provincia di Cagliari e attraverso una stretta collaborazione fra i tecnici della ARPA Sardegna e quelli della Città Metropolitana.</w:t>
      </w:r>
    </w:p>
    <w:p>
      <w:pPr>
        <w:pStyle w:val="Standard"/>
        <w:spacing w:lineRule="atLeast" w:line="283"/>
        <w:jc w:val="both"/>
        <w:rPr>
          <w:rFonts w:ascii="Arial" w:hAnsi="Arial"/>
          <w:sz w:val="18"/>
          <w:szCs w:val="20"/>
        </w:rPr>
      </w:pPr>
      <w:r>
        <w:rPr>
          <w:rFonts w:ascii="Arial" w:hAnsi="Arial"/>
          <w:sz w:val="18"/>
          <w:szCs w:val="20"/>
        </w:rPr>
      </w:r>
    </w:p>
    <w:p>
      <w:pPr>
        <w:pStyle w:val="Standard"/>
        <w:spacing w:lineRule="atLeast" w:line="283"/>
        <w:jc w:val="both"/>
        <w:rPr>
          <w:rFonts w:ascii="Arial" w:hAnsi="Arial"/>
          <w:sz w:val="18"/>
          <w:szCs w:val="20"/>
        </w:rPr>
      </w:pPr>
      <w:r>
        <w:rPr>
          <w:rFonts w:ascii="Arial" w:hAnsi="Arial"/>
          <w:sz w:val="18"/>
          <w:szCs w:val="20"/>
        </w:rPr>
        <w:t>Il gruppo di lavoro suddetto è stato concordato a seguito della convenzione Rep. n.4566 del 14/11/2016, successivamente prorogata fino al mese di aprile 2024 e successivamente aggiornata nel mese di luglio 2024 per consentire, nell'ambito delle attività di supporto tecnico dell'Agenzia, l'elaborazione dei dati necessari alla redazione del Piano d'Azione..</w:t>
      </w:r>
    </w:p>
    <w:p>
      <w:pPr>
        <w:pStyle w:val="Standard"/>
        <w:spacing w:lineRule="atLeast" w:line="283"/>
        <w:jc w:val="both"/>
        <w:rPr>
          <w:rFonts w:ascii="Arial" w:hAnsi="Arial"/>
          <w:sz w:val="18"/>
          <w:szCs w:val="20"/>
        </w:rPr>
      </w:pPr>
      <w:r>
        <w:rPr>
          <w:rFonts w:ascii="Arial" w:hAnsi="Arial"/>
          <w:sz w:val="18"/>
          <w:szCs w:val="20"/>
        </w:rPr>
      </w:r>
    </w:p>
    <w:p>
      <w:pPr>
        <w:pStyle w:val="Standard"/>
        <w:spacing w:lineRule="atLeast" w:line="283"/>
        <w:jc w:val="both"/>
        <w:rPr>
          <w:rFonts w:ascii="Arial" w:hAnsi="Arial"/>
          <w:sz w:val="18"/>
          <w:szCs w:val="20"/>
        </w:rPr>
      </w:pPr>
      <w:r>
        <w:rPr>
          <w:rFonts w:ascii="Arial" w:hAnsi="Arial"/>
          <w:sz w:val="18"/>
          <w:szCs w:val="20"/>
        </w:rPr>
        <w:t>Gruppo di lavoro: Dott. Filippo Locci, Dott. Massimo Cappai (ARPAS)</w:t>
      </w:r>
    </w:p>
    <w:p>
      <w:pPr>
        <w:pStyle w:val="Standard"/>
        <w:spacing w:lineRule="atLeast" w:line="283" w:before="57" w:after="57"/>
        <w:jc w:val="center"/>
        <w:rPr>
          <w:rFonts w:ascii="Calibri" w:hAnsi="Calibri"/>
          <w:b/>
          <w:bCs/>
          <w:sz w:val="18"/>
          <w:szCs w:val="20"/>
        </w:rPr>
      </w:pPr>
      <w:r>
        <w:rPr>
          <w:rFonts w:ascii="Calibri" w:hAnsi="Calibri"/>
          <w:b/>
          <w:bCs/>
          <w:sz w:val="18"/>
          <w:szCs w:val="20"/>
        </w:rPr>
      </w:r>
    </w:p>
    <w:p>
      <w:pPr>
        <w:pStyle w:val="Normal"/>
        <w:rPr>
          <w:rFonts w:ascii="Calibri" w:hAnsi="Calibri"/>
          <w:b/>
          <w:bCs/>
          <w:sz w:val="18"/>
          <w:szCs w:val="20"/>
        </w:rPr>
      </w:pPr>
      <w:r>
        <w:rPr>
          <w:rFonts w:ascii="Calibri" w:hAnsi="Calibri"/>
          <w:b/>
          <w:bCs/>
          <w:sz w:val="18"/>
          <w:szCs w:val="20"/>
        </w:rPr>
      </w:r>
      <w:r>
        <w:br w:type="page"/>
      </w:r>
    </w:p>
    <w:p>
      <w:pPr>
        <w:pStyle w:val="Standard"/>
        <w:spacing w:lineRule="atLeast" w:line="283" w:before="0" w:after="57"/>
        <w:jc w:val="center"/>
        <w:rPr>
          <w:rFonts w:ascii="Calibri" w:hAnsi="Calibri"/>
          <w:b/>
          <w:bCs/>
          <w:sz w:val="18"/>
          <w:szCs w:val="20"/>
        </w:rPr>
      </w:pPr>
      <w:r>
        <w:rPr>
          <w:rFonts w:ascii="Calibri" w:hAnsi="Calibri"/>
          <w:b/>
          <w:bCs/>
          <w:sz w:val="18"/>
          <w:szCs w:val="20"/>
        </w:rPr>
      </w:r>
    </w:p>
    <w:p>
      <w:pPr>
        <w:pStyle w:val="Standard"/>
        <w:spacing w:lineRule="atLeast" w:line="283" w:before="57" w:after="57"/>
        <w:jc w:val="center"/>
        <w:rPr>
          <w:rFonts w:ascii="Calibri" w:hAnsi="Calibri"/>
          <w:b/>
          <w:bCs/>
          <w:sz w:val="18"/>
          <w:szCs w:val="20"/>
        </w:rPr>
      </w:pPr>
      <w:r>
        <w:rPr>
          <w:rFonts w:ascii="Calibri" w:hAnsi="Calibri"/>
          <w:b/>
          <w:bCs/>
          <w:sz w:val="18"/>
          <w:szCs w:val="20"/>
        </w:rPr>
        <w:t>INDICE</w:t>
      </w:r>
    </w:p>
    <w:sdt>
      <w:sdtPr>
        <w:docPartObj>
          <w:docPartGallery w:val="Table of Contents"/>
          <w:docPartUnique w:val="true"/>
        </w:docPartObj>
      </w:sdtPr>
      <w:sdtContent>
        <w:p>
          <w:pPr>
            <w:pStyle w:val="TOCHeading"/>
            <w:ind w:hanging="0" w:left="0"/>
            <w:rPr>
              <w:rFonts w:ascii="Arial" w:hAnsi="Arial" w:cs="Arial"/>
              <w:sz w:val="20"/>
              <w:szCs w:val="22"/>
            </w:rPr>
          </w:pPr>
          <w:r>
            <w:rPr>
              <w:rFonts w:cs="Arial" w:ascii="Arial" w:hAnsi="Arial"/>
              <w:sz w:val="20"/>
              <w:szCs w:val="22"/>
            </w:rPr>
            <w:t>Sommario</w:t>
          </w:r>
        </w:p>
        <w:p>
          <w:pPr>
            <w:pStyle w:val="TOC1"/>
            <w:tabs>
              <w:tab w:val="clear" w:pos="709"/>
              <w:tab w:val="left" w:pos="440" w:leader="none"/>
              <w:tab w:val="right" w:pos="9628" w:leader="dot"/>
            </w:tabs>
            <w:rPr>
              <w:rFonts w:ascii="Arial" w:hAnsi="Arial" w:eastAsia="" w:cs="Arial" w:eastAsiaTheme="minorEastAsia"/>
              <w:kern w:val="0"/>
              <w:sz w:val="20"/>
              <w:szCs w:val="22"/>
              <w:lang w:eastAsia="it-IT" w:bidi="ar-SA"/>
            </w:rPr>
          </w:pPr>
          <w:r>
            <w:fldChar w:fldCharType="begin"/>
          </w:r>
          <w:r>
            <w:rPr>
              <w:webHidden/>
              <w:rStyle w:val="Saltoaindice"/>
              <w:sz w:val="20"/>
              <w:szCs w:val="22"/>
              <w:vanish w:val="false"/>
              <w:rFonts w:cs="Arial" w:ascii="Arial" w:hAnsi="Arial"/>
            </w:rPr>
            <w:instrText xml:space="preserve"> TOC \z \o "1-3" \u \h</w:instrText>
          </w:r>
          <w:r>
            <w:rPr>
              <w:webHidden/>
              <w:rStyle w:val="Saltoaindice"/>
              <w:sz w:val="20"/>
              <w:szCs w:val="22"/>
              <w:vanish w:val="false"/>
              <w:rFonts w:cs="Arial" w:ascii="Arial" w:hAnsi="Arial"/>
            </w:rPr>
            <w:fldChar w:fldCharType="separate"/>
          </w:r>
          <w:hyperlink w:anchor="_Toc172196604">
            <w:r>
              <w:rPr>
                <w:webHidden/>
                <w:rStyle w:val="Saltoaindice"/>
                <w:rFonts w:cs="Arial" w:ascii="Arial" w:hAnsi="Arial"/>
                <w:vanish w:val="false"/>
                <w:sz w:val="20"/>
                <w:szCs w:val="22"/>
              </w:rPr>
              <w:t>1.</w:t>
            </w:r>
            <w:r>
              <w:rPr>
                <w:rStyle w:val="Saltoaindice"/>
                <w:rFonts w:eastAsia="" w:cs="Arial" w:ascii="Arial" w:hAnsi="Arial" w:eastAsiaTheme="minorEastAsia"/>
                <w:kern w:val="0"/>
                <w:sz w:val="20"/>
                <w:szCs w:val="22"/>
                <w:lang w:eastAsia="it-IT" w:bidi="ar-SA"/>
              </w:rPr>
              <w:tab/>
            </w:r>
            <w:r>
              <w:rPr>
                <w:rStyle w:val="Saltoaindice"/>
                <w:rFonts w:cs="Arial" w:ascii="Arial" w:hAnsi="Arial"/>
                <w:sz w:val="20"/>
                <w:szCs w:val="22"/>
              </w:rPr>
              <w:t>PREMESSA</w:t>
            </w:r>
            <w:r>
              <w:rPr>
                <w:webHidden/>
              </w:rPr>
              <w:fldChar w:fldCharType="begin"/>
            </w:r>
            <w:r>
              <w:rPr>
                <w:webHidden/>
              </w:rPr>
              <w:instrText xml:space="preserve">PAGEREF _Toc172196604 \h</w:instrText>
            </w:r>
            <w:r>
              <w:rPr>
                <w:webHidden/>
              </w:rPr>
              <w:fldChar w:fldCharType="separate"/>
            </w:r>
            <w:r>
              <w:rPr>
                <w:rStyle w:val="Saltoaindice"/>
                <w:rFonts w:cs="Arial" w:ascii="Arial" w:hAnsi="Arial"/>
                <w:vanish w:val="false"/>
                <w:sz w:val="20"/>
                <w:szCs w:val="22"/>
              </w:rPr>
              <w:tab/>
              <w:t>4</w:t>
            </w:r>
            <w:r>
              <w:rPr>
                <w:webHidden/>
              </w:rPr>
              <w:fldChar w:fldCharType="end"/>
            </w:r>
          </w:hyperlink>
        </w:p>
        <w:p>
          <w:pPr>
            <w:pStyle w:val="TOC1"/>
            <w:tabs>
              <w:tab w:val="clear" w:pos="709"/>
              <w:tab w:val="left" w:pos="440" w:leader="none"/>
              <w:tab w:val="right" w:pos="9628" w:leader="dot"/>
            </w:tabs>
            <w:rPr>
              <w:rFonts w:ascii="Arial" w:hAnsi="Arial" w:eastAsia="" w:cs="Arial" w:eastAsiaTheme="minorEastAsia"/>
              <w:kern w:val="0"/>
              <w:sz w:val="20"/>
              <w:szCs w:val="22"/>
              <w:lang w:eastAsia="it-IT" w:bidi="ar-SA"/>
            </w:rPr>
          </w:pPr>
          <w:hyperlink w:anchor="_Toc172196605">
            <w:r>
              <w:rPr>
                <w:webHidden/>
                <w:rStyle w:val="Saltoaindice"/>
                <w:rFonts w:cs="Arial" w:ascii="Arial" w:hAnsi="Arial"/>
                <w:vanish w:val="false"/>
                <w:sz w:val="20"/>
                <w:szCs w:val="22"/>
              </w:rPr>
              <w:t>2.</w:t>
            </w:r>
            <w:r>
              <w:rPr>
                <w:rStyle w:val="Saltoaindice"/>
                <w:rFonts w:eastAsia="" w:cs="Arial" w:ascii="Arial" w:hAnsi="Arial" w:eastAsiaTheme="minorEastAsia"/>
                <w:kern w:val="0"/>
                <w:sz w:val="20"/>
                <w:szCs w:val="22"/>
                <w:lang w:eastAsia="it-IT" w:bidi="ar-SA"/>
              </w:rPr>
              <w:tab/>
            </w:r>
            <w:r>
              <w:rPr>
                <w:rStyle w:val="Saltoaindice"/>
                <w:rFonts w:cs="Arial" w:ascii="Arial" w:hAnsi="Arial"/>
                <w:sz w:val="20"/>
                <w:szCs w:val="22"/>
              </w:rPr>
              <w:t xml:space="preserve">DESCRIZIONE DELL’AGGLOMERATO, DELLE INFRASTRUTTURE E DELLA ALTRE SORGENTI DA PRENDERE IN CONSIDERAZIONE - </w:t>
            </w:r>
            <w:r>
              <w:rPr>
                <w:rStyle w:val="Saltoaindice"/>
                <w:rFonts w:cs="Arial" w:ascii="Arial" w:hAnsi="Arial"/>
                <w:i/>
                <w:iCs/>
                <w:sz w:val="20"/>
                <w:szCs w:val="22"/>
              </w:rPr>
              <w:t>Requisito di cui all. 5 D.Lgs. 194/2005 lett.a)</w:t>
            </w:r>
            <w:r>
              <w:rPr>
                <w:webHidden/>
              </w:rPr>
              <w:fldChar w:fldCharType="begin"/>
            </w:r>
            <w:r>
              <w:rPr>
                <w:webHidden/>
              </w:rPr>
              <w:instrText xml:space="preserve">PAGEREF _Toc172196605 \h</w:instrText>
            </w:r>
            <w:r>
              <w:rPr>
                <w:webHidden/>
              </w:rPr>
              <w:fldChar w:fldCharType="separate"/>
            </w:r>
            <w:r>
              <w:rPr>
                <w:rStyle w:val="Saltoaindice"/>
                <w:rFonts w:cs="Arial" w:ascii="Arial" w:hAnsi="Arial"/>
                <w:vanish w:val="false"/>
                <w:sz w:val="20"/>
                <w:szCs w:val="22"/>
              </w:rPr>
              <w:tab/>
              <w:t>5</w:t>
            </w:r>
            <w:r>
              <w:rPr>
                <w:webHidden/>
              </w:rPr>
              <w:fldChar w:fldCharType="end"/>
            </w:r>
          </w:hyperlink>
        </w:p>
        <w:p>
          <w:pPr>
            <w:pStyle w:val="TOC1"/>
            <w:tabs>
              <w:tab w:val="clear" w:pos="709"/>
              <w:tab w:val="left" w:pos="440" w:leader="none"/>
              <w:tab w:val="right" w:pos="9628" w:leader="dot"/>
            </w:tabs>
            <w:rPr>
              <w:rFonts w:ascii="Arial" w:hAnsi="Arial" w:eastAsia="" w:cs="Arial" w:eastAsiaTheme="minorEastAsia"/>
              <w:kern w:val="0"/>
              <w:sz w:val="20"/>
              <w:szCs w:val="22"/>
              <w:lang w:eastAsia="it-IT" w:bidi="ar-SA"/>
            </w:rPr>
          </w:pPr>
          <w:hyperlink w:anchor="_Toc172196606">
            <w:r>
              <w:rPr>
                <w:webHidden/>
                <w:rStyle w:val="Saltoaindice"/>
                <w:rFonts w:cs="Arial" w:ascii="Arial" w:hAnsi="Arial"/>
                <w:vanish w:val="false"/>
                <w:sz w:val="20"/>
                <w:szCs w:val="22"/>
              </w:rPr>
              <w:t>3.</w:t>
            </w:r>
            <w:r>
              <w:rPr>
                <w:rStyle w:val="Saltoaindice"/>
                <w:rFonts w:eastAsia="" w:cs="Arial" w:ascii="Arial" w:hAnsi="Arial" w:eastAsiaTheme="minorEastAsia"/>
                <w:kern w:val="0"/>
                <w:sz w:val="20"/>
                <w:szCs w:val="22"/>
                <w:lang w:eastAsia="it-IT" w:bidi="ar-SA"/>
              </w:rPr>
              <w:tab/>
            </w:r>
            <w:r>
              <w:rPr>
                <w:rStyle w:val="Saltoaindice"/>
                <w:rFonts w:cs="Arial" w:ascii="Arial" w:hAnsi="Arial"/>
                <w:sz w:val="20"/>
                <w:szCs w:val="22"/>
              </w:rPr>
              <w:t>AUTORITÀ COMPETENTE - Requisito di cui all. 5 D.Lgs. 194/2005 lett.b)</w:t>
            </w:r>
            <w:r>
              <w:rPr>
                <w:webHidden/>
              </w:rPr>
              <w:fldChar w:fldCharType="begin"/>
            </w:r>
            <w:r>
              <w:rPr>
                <w:webHidden/>
              </w:rPr>
              <w:instrText xml:space="preserve">PAGEREF _Toc172196606 \h</w:instrText>
            </w:r>
            <w:r>
              <w:rPr>
                <w:webHidden/>
              </w:rPr>
              <w:fldChar w:fldCharType="separate"/>
            </w:r>
            <w:r>
              <w:rPr>
                <w:rStyle w:val="Saltoaindice"/>
                <w:rFonts w:cs="Arial" w:ascii="Arial" w:hAnsi="Arial"/>
                <w:vanish w:val="false"/>
                <w:sz w:val="20"/>
                <w:szCs w:val="22"/>
              </w:rPr>
              <w:tab/>
              <w:t>7</w:t>
            </w:r>
            <w:r>
              <w:rPr>
                <w:webHidden/>
              </w:rPr>
              <w:fldChar w:fldCharType="end"/>
            </w:r>
          </w:hyperlink>
        </w:p>
        <w:p>
          <w:pPr>
            <w:pStyle w:val="TOC1"/>
            <w:tabs>
              <w:tab w:val="clear" w:pos="709"/>
              <w:tab w:val="left" w:pos="440" w:leader="none"/>
              <w:tab w:val="right" w:pos="9628" w:leader="dot"/>
            </w:tabs>
            <w:rPr>
              <w:rFonts w:ascii="Arial" w:hAnsi="Arial" w:eastAsia="" w:cs="Arial" w:eastAsiaTheme="minorEastAsia"/>
              <w:kern w:val="0"/>
              <w:sz w:val="20"/>
              <w:szCs w:val="22"/>
              <w:lang w:eastAsia="it-IT" w:bidi="ar-SA"/>
            </w:rPr>
          </w:pPr>
          <w:hyperlink w:anchor="_Toc172196607">
            <w:r>
              <w:rPr>
                <w:webHidden/>
                <w:rStyle w:val="Saltoaindice"/>
                <w:rFonts w:cs="Arial" w:ascii="Arial" w:hAnsi="Arial"/>
                <w:vanish w:val="false"/>
                <w:sz w:val="20"/>
                <w:szCs w:val="22"/>
              </w:rPr>
              <w:t>4.</w:t>
            </w:r>
            <w:r>
              <w:rPr>
                <w:rStyle w:val="Saltoaindice"/>
                <w:rFonts w:eastAsia="" w:cs="Arial" w:ascii="Arial" w:hAnsi="Arial" w:eastAsiaTheme="minorEastAsia"/>
                <w:kern w:val="0"/>
                <w:sz w:val="20"/>
                <w:szCs w:val="22"/>
                <w:lang w:eastAsia="it-IT" w:bidi="ar-SA"/>
              </w:rPr>
              <w:tab/>
            </w:r>
            <w:r>
              <w:rPr>
                <w:rStyle w:val="Saltoaindice"/>
                <w:rFonts w:cs="Arial" w:ascii="Arial" w:hAnsi="Arial"/>
                <w:sz w:val="20"/>
                <w:szCs w:val="22"/>
              </w:rPr>
              <w:t>CONTESTO GIURIDICO - Requisito di cui all. 5 D.Lgs. 194/2005 lett.c)</w:t>
            </w:r>
            <w:r>
              <w:rPr>
                <w:webHidden/>
              </w:rPr>
              <w:fldChar w:fldCharType="begin"/>
            </w:r>
            <w:r>
              <w:rPr>
                <w:webHidden/>
              </w:rPr>
              <w:instrText xml:space="preserve">PAGEREF _Toc172196607 \h</w:instrText>
            </w:r>
            <w:r>
              <w:rPr>
                <w:webHidden/>
              </w:rPr>
              <w:fldChar w:fldCharType="separate"/>
            </w:r>
            <w:r>
              <w:rPr>
                <w:rStyle w:val="Saltoaindice"/>
                <w:rFonts w:cs="Arial" w:ascii="Arial" w:hAnsi="Arial"/>
                <w:vanish w:val="false"/>
                <w:sz w:val="20"/>
                <w:szCs w:val="22"/>
              </w:rPr>
              <w:tab/>
              <w:t>8</w:t>
            </w:r>
            <w:r>
              <w:rPr>
                <w:webHidden/>
              </w:rPr>
              <w:fldChar w:fldCharType="end"/>
            </w:r>
          </w:hyperlink>
        </w:p>
        <w:p>
          <w:pPr>
            <w:pStyle w:val="TOC1"/>
            <w:tabs>
              <w:tab w:val="clear" w:pos="709"/>
              <w:tab w:val="left" w:pos="440" w:leader="none"/>
              <w:tab w:val="right" w:pos="9628" w:leader="dot"/>
            </w:tabs>
            <w:rPr>
              <w:rFonts w:ascii="Arial" w:hAnsi="Arial" w:eastAsia="" w:cs="Arial" w:eastAsiaTheme="minorEastAsia"/>
              <w:kern w:val="0"/>
              <w:sz w:val="20"/>
              <w:szCs w:val="22"/>
              <w:lang w:eastAsia="it-IT" w:bidi="ar-SA"/>
            </w:rPr>
          </w:pPr>
          <w:hyperlink w:anchor="_Toc172196608">
            <w:r>
              <w:rPr>
                <w:webHidden/>
                <w:rStyle w:val="Saltoaindice"/>
                <w:rFonts w:cs="Arial" w:ascii="Arial" w:hAnsi="Arial"/>
                <w:vanish w:val="false"/>
                <w:sz w:val="20"/>
                <w:szCs w:val="22"/>
              </w:rPr>
              <w:t>5.</w:t>
            </w:r>
            <w:r>
              <w:rPr>
                <w:rStyle w:val="Saltoaindice"/>
                <w:rFonts w:eastAsia="" w:cs="Arial" w:ascii="Arial" w:hAnsi="Arial" w:eastAsiaTheme="minorEastAsia"/>
                <w:kern w:val="0"/>
                <w:sz w:val="20"/>
                <w:szCs w:val="22"/>
                <w:lang w:eastAsia="it-IT" w:bidi="ar-SA"/>
              </w:rPr>
              <w:tab/>
            </w:r>
            <w:r>
              <w:rPr>
                <w:rStyle w:val="Saltoaindice"/>
                <w:rFonts w:cs="Arial" w:ascii="Arial" w:hAnsi="Arial"/>
                <w:sz w:val="20"/>
                <w:szCs w:val="22"/>
              </w:rPr>
              <w:t>VALORI LIMITE IN VIGORE AI SENSI DELL’ART. 5 DEL D.LGS. 194/2005 - Requisito di cui all. 5 D.Lgs. 194/2005 lett.d)</w:t>
            </w:r>
            <w:r>
              <w:rPr>
                <w:webHidden/>
              </w:rPr>
              <w:fldChar w:fldCharType="begin"/>
            </w:r>
            <w:r>
              <w:rPr>
                <w:webHidden/>
              </w:rPr>
              <w:instrText xml:space="preserve">PAGEREF _Toc172196608 \h</w:instrText>
            </w:r>
            <w:r>
              <w:rPr>
                <w:webHidden/>
              </w:rPr>
              <w:fldChar w:fldCharType="separate"/>
            </w:r>
            <w:r>
              <w:rPr>
                <w:rStyle w:val="Saltoaindice"/>
                <w:rFonts w:cs="Arial" w:ascii="Arial" w:hAnsi="Arial"/>
                <w:vanish w:val="false"/>
                <w:sz w:val="20"/>
                <w:szCs w:val="22"/>
              </w:rPr>
              <w:tab/>
              <w:t>10</w:t>
            </w:r>
            <w:r>
              <w:rPr>
                <w:webHidden/>
              </w:rPr>
              <w:fldChar w:fldCharType="end"/>
            </w:r>
          </w:hyperlink>
        </w:p>
        <w:p>
          <w:pPr>
            <w:pStyle w:val="TOC1"/>
            <w:tabs>
              <w:tab w:val="clear" w:pos="709"/>
              <w:tab w:val="left" w:pos="440" w:leader="none"/>
              <w:tab w:val="right" w:pos="9628" w:leader="dot"/>
            </w:tabs>
            <w:rPr>
              <w:rFonts w:ascii="Arial" w:hAnsi="Arial" w:eastAsia="" w:cs="Arial" w:eastAsiaTheme="minorEastAsia"/>
              <w:kern w:val="0"/>
              <w:sz w:val="20"/>
              <w:szCs w:val="22"/>
              <w:lang w:eastAsia="it-IT" w:bidi="ar-SA"/>
            </w:rPr>
          </w:pPr>
          <w:hyperlink w:anchor="_Toc172196609">
            <w:r>
              <w:rPr>
                <w:webHidden/>
                <w:rStyle w:val="Saltoaindice"/>
                <w:rFonts w:cs="Arial" w:ascii="Arial" w:hAnsi="Arial"/>
                <w:vanish w:val="false"/>
                <w:sz w:val="20"/>
                <w:szCs w:val="22"/>
              </w:rPr>
              <w:t>6.</w:t>
            </w:r>
            <w:r>
              <w:rPr>
                <w:rStyle w:val="Saltoaindice"/>
                <w:rFonts w:eastAsia="" w:cs="Arial" w:ascii="Arial" w:hAnsi="Arial" w:eastAsiaTheme="minorEastAsia"/>
                <w:kern w:val="0"/>
                <w:sz w:val="20"/>
                <w:szCs w:val="22"/>
                <w:lang w:eastAsia="it-IT" w:bidi="ar-SA"/>
              </w:rPr>
              <w:tab/>
            </w:r>
            <w:r>
              <w:rPr>
                <w:rStyle w:val="Saltoaindice"/>
                <w:rFonts w:cs="Arial" w:ascii="Arial" w:hAnsi="Arial"/>
                <w:sz w:val="20"/>
                <w:szCs w:val="22"/>
              </w:rPr>
              <w:t>SINTESI DEI RISULTATI DELLA MAPPATURA ACUSTICA - Requisito di cui all. 5 D.Lgs. n.194/2005 lett.e)</w:t>
            </w:r>
            <w:r>
              <w:rPr>
                <w:webHidden/>
              </w:rPr>
              <w:fldChar w:fldCharType="begin"/>
            </w:r>
            <w:r>
              <w:rPr>
                <w:webHidden/>
              </w:rPr>
              <w:instrText xml:space="preserve">PAGEREF _Toc172196609 \h</w:instrText>
            </w:r>
            <w:r>
              <w:rPr>
                <w:webHidden/>
              </w:rPr>
              <w:fldChar w:fldCharType="separate"/>
            </w:r>
            <w:r>
              <w:rPr>
                <w:rStyle w:val="Saltoaindice"/>
                <w:rFonts w:cs="Arial" w:ascii="Arial" w:hAnsi="Arial"/>
                <w:vanish w:val="false"/>
                <w:sz w:val="20"/>
                <w:szCs w:val="22"/>
              </w:rPr>
              <w:tab/>
              <w:t>11</w:t>
            </w:r>
            <w:r>
              <w:rPr>
                <w:webHidden/>
              </w:rPr>
              <w:fldChar w:fldCharType="end"/>
            </w:r>
          </w:hyperlink>
        </w:p>
        <w:p>
          <w:pPr>
            <w:pStyle w:val="TOC1"/>
            <w:tabs>
              <w:tab w:val="clear" w:pos="709"/>
              <w:tab w:val="left" w:pos="440" w:leader="none"/>
              <w:tab w:val="right" w:pos="9628" w:leader="dot"/>
            </w:tabs>
            <w:rPr>
              <w:rFonts w:ascii="Arial" w:hAnsi="Arial" w:eastAsia="" w:cs="Arial" w:eastAsiaTheme="minorEastAsia"/>
              <w:kern w:val="0"/>
              <w:sz w:val="20"/>
              <w:szCs w:val="22"/>
              <w:lang w:eastAsia="it-IT" w:bidi="ar-SA"/>
            </w:rPr>
          </w:pPr>
          <w:hyperlink w:anchor="_Toc172196610">
            <w:r>
              <w:rPr>
                <w:webHidden/>
                <w:rStyle w:val="Saltoaindice"/>
                <w:rFonts w:cs="Arial" w:ascii="Arial" w:hAnsi="Arial"/>
                <w:vanish w:val="false"/>
                <w:sz w:val="20"/>
                <w:szCs w:val="22"/>
              </w:rPr>
              <w:t>7.</w:t>
            </w:r>
            <w:r>
              <w:rPr>
                <w:rStyle w:val="Saltoaindice"/>
                <w:rFonts w:eastAsia="" w:cs="Arial" w:ascii="Arial" w:hAnsi="Arial" w:eastAsiaTheme="minorEastAsia"/>
                <w:kern w:val="0"/>
                <w:sz w:val="20"/>
                <w:szCs w:val="22"/>
                <w:lang w:eastAsia="it-IT" w:bidi="ar-SA"/>
              </w:rPr>
              <w:tab/>
            </w:r>
            <w:r>
              <w:rPr>
                <w:rStyle w:val="Saltoaindice"/>
                <w:rFonts w:cs="Arial" w:ascii="Arial" w:hAnsi="Arial"/>
                <w:sz w:val="20"/>
                <w:szCs w:val="22"/>
              </w:rPr>
              <w:t>VALUTAZIONE DEL NUMERO STIMATO DI PERSONE ESPOSTE AL RUMORE, INDIVIDUAZIONE DEI PROBLEMI E DELLE SITUAZIONI DA MIGLIORARE - Requisito di cui all. 5 D.Lgs. 194/2005 lett.f)</w:t>
            </w:r>
            <w:r>
              <w:rPr>
                <w:webHidden/>
              </w:rPr>
              <w:fldChar w:fldCharType="begin"/>
            </w:r>
            <w:r>
              <w:rPr>
                <w:webHidden/>
              </w:rPr>
              <w:instrText xml:space="preserve">PAGEREF _Toc172196610 \h</w:instrText>
            </w:r>
            <w:r>
              <w:rPr>
                <w:webHidden/>
              </w:rPr>
              <w:fldChar w:fldCharType="separate"/>
            </w:r>
            <w:r>
              <w:rPr>
                <w:rStyle w:val="Saltoaindice"/>
                <w:rFonts w:cs="Arial" w:ascii="Arial" w:hAnsi="Arial"/>
                <w:vanish w:val="false"/>
                <w:sz w:val="20"/>
                <w:szCs w:val="22"/>
              </w:rPr>
              <w:tab/>
              <w:t>12</w:t>
            </w:r>
            <w:r>
              <w:rPr>
                <w:webHidden/>
              </w:rPr>
              <w:fldChar w:fldCharType="end"/>
            </w:r>
          </w:hyperlink>
        </w:p>
        <w:p>
          <w:pPr>
            <w:pStyle w:val="TOC1"/>
            <w:tabs>
              <w:tab w:val="clear" w:pos="709"/>
              <w:tab w:val="left" w:pos="440" w:leader="none"/>
              <w:tab w:val="right" w:pos="9628" w:leader="dot"/>
            </w:tabs>
            <w:rPr>
              <w:rFonts w:ascii="Arial" w:hAnsi="Arial" w:eastAsia="" w:cs="Arial" w:eastAsiaTheme="minorEastAsia"/>
              <w:kern w:val="0"/>
              <w:sz w:val="20"/>
              <w:szCs w:val="22"/>
              <w:lang w:eastAsia="it-IT" w:bidi="ar-SA"/>
            </w:rPr>
          </w:pPr>
          <w:hyperlink w:anchor="_Toc172196611">
            <w:r>
              <w:rPr>
                <w:webHidden/>
                <w:rStyle w:val="Saltoaindice"/>
                <w:rFonts w:cs="Arial" w:ascii="Arial" w:hAnsi="Arial"/>
                <w:vanish w:val="false"/>
                <w:sz w:val="20"/>
                <w:szCs w:val="22"/>
              </w:rPr>
              <w:t>8.</w:t>
            </w:r>
            <w:r>
              <w:rPr>
                <w:rStyle w:val="Saltoaindice"/>
                <w:rFonts w:eastAsia="" w:cs="Arial" w:ascii="Arial" w:hAnsi="Arial" w:eastAsiaTheme="minorEastAsia"/>
                <w:kern w:val="0"/>
                <w:sz w:val="20"/>
                <w:szCs w:val="22"/>
                <w:lang w:eastAsia="it-IT" w:bidi="ar-SA"/>
              </w:rPr>
              <w:tab/>
            </w:r>
            <w:r>
              <w:rPr>
                <w:rStyle w:val="Saltoaindice"/>
                <w:rFonts w:cs="Arial" w:ascii="Arial" w:hAnsi="Arial"/>
                <w:sz w:val="20"/>
                <w:szCs w:val="22"/>
              </w:rPr>
              <w:t>RESOCONTO DELLE CONSULTAZIONI PUBBLICHE ORGANIZZATE AI SENSI DELL’ARTICOLO 8 DEL D.LGS. 194/2005 - Requisito di cui all. 5 D.Lgs. 194/2005 lett.g)</w:t>
            </w:r>
            <w:r>
              <w:rPr>
                <w:webHidden/>
              </w:rPr>
              <w:fldChar w:fldCharType="begin"/>
            </w:r>
            <w:r>
              <w:rPr>
                <w:webHidden/>
              </w:rPr>
              <w:instrText xml:space="preserve">PAGEREF _Toc172196611 \h</w:instrText>
            </w:r>
            <w:r>
              <w:rPr>
                <w:webHidden/>
              </w:rPr>
              <w:fldChar w:fldCharType="separate"/>
            </w:r>
            <w:r>
              <w:rPr>
                <w:rStyle w:val="Saltoaindice"/>
                <w:rFonts w:cs="Arial" w:ascii="Arial" w:hAnsi="Arial"/>
                <w:vanish w:val="false"/>
                <w:sz w:val="20"/>
                <w:szCs w:val="22"/>
              </w:rPr>
              <w:tab/>
              <w:t>14</w:t>
            </w:r>
            <w:r>
              <w:rPr>
                <w:webHidden/>
              </w:rPr>
              <w:fldChar w:fldCharType="end"/>
            </w:r>
          </w:hyperlink>
        </w:p>
        <w:p>
          <w:pPr>
            <w:pStyle w:val="TOC1"/>
            <w:tabs>
              <w:tab w:val="clear" w:pos="709"/>
              <w:tab w:val="left" w:pos="440" w:leader="none"/>
              <w:tab w:val="right" w:pos="9628" w:leader="dot"/>
            </w:tabs>
            <w:rPr>
              <w:rFonts w:ascii="Arial" w:hAnsi="Arial" w:eastAsia="" w:cs="Arial" w:eastAsiaTheme="minorEastAsia"/>
              <w:kern w:val="0"/>
              <w:sz w:val="20"/>
              <w:szCs w:val="22"/>
              <w:lang w:eastAsia="it-IT" w:bidi="ar-SA"/>
            </w:rPr>
          </w:pPr>
          <w:hyperlink w:anchor="_Toc172196612">
            <w:r>
              <w:rPr>
                <w:webHidden/>
                <w:rStyle w:val="Saltoaindice"/>
                <w:rFonts w:cs="Arial" w:ascii="Arial" w:hAnsi="Arial"/>
                <w:vanish w:val="false"/>
                <w:sz w:val="20"/>
                <w:szCs w:val="22"/>
              </w:rPr>
              <w:t>9.</w:t>
            </w:r>
            <w:r>
              <w:rPr>
                <w:rStyle w:val="Saltoaindice"/>
                <w:rFonts w:eastAsia="" w:cs="Arial" w:ascii="Arial" w:hAnsi="Arial" w:eastAsiaTheme="minorEastAsia"/>
                <w:kern w:val="0"/>
                <w:sz w:val="20"/>
                <w:szCs w:val="22"/>
                <w:lang w:eastAsia="it-IT" w:bidi="ar-SA"/>
              </w:rPr>
              <w:tab/>
            </w:r>
            <w:r>
              <w:rPr>
                <w:rStyle w:val="Saltoaindice"/>
                <w:rFonts w:cs="Arial" w:ascii="Arial" w:hAnsi="Arial"/>
                <w:sz w:val="20"/>
                <w:szCs w:val="22"/>
              </w:rPr>
              <w:t>MISURE ANTIRUMORE IN ATTO E IN FASE DI PREPARAZIONE, INTERVENTI PIANIFICATI PER I SUCCESSIVI CINQUE ANNI E STRATEGIA DI LUNGO TERMINE -</w:t>
            </w:r>
            <w:r>
              <w:rPr>
                <w:rStyle w:val="Saltoaindice"/>
                <w:rFonts w:eastAsia="Times New Roman" w:cs="Arial" w:ascii="Arial" w:hAnsi="Arial"/>
                <w:sz w:val="20"/>
                <w:szCs w:val="22"/>
              </w:rPr>
              <w:t xml:space="preserve"> PIANI DI RISANAMENTO ACUSTICO DELLE INFRASTRUTTURE DI TRASPORTO - Requisiti di cui all. 5 D.Lgs. 194/2005 lett.h) – i) - l)</w:t>
            </w:r>
            <w:r>
              <w:rPr>
                <w:webHidden/>
              </w:rPr>
              <w:fldChar w:fldCharType="begin"/>
            </w:r>
            <w:r>
              <w:rPr>
                <w:webHidden/>
              </w:rPr>
              <w:instrText xml:space="preserve">PAGEREF _Toc172196612 \h</w:instrText>
            </w:r>
            <w:r>
              <w:rPr>
                <w:webHidden/>
              </w:rPr>
              <w:fldChar w:fldCharType="separate"/>
            </w:r>
            <w:r>
              <w:rPr>
                <w:rStyle w:val="Saltoaindice"/>
                <w:rFonts w:cs="Arial" w:ascii="Arial" w:hAnsi="Arial"/>
                <w:vanish w:val="false"/>
                <w:sz w:val="20"/>
                <w:szCs w:val="22"/>
              </w:rPr>
              <w:tab/>
              <w:t>15</w:t>
            </w:r>
            <w:r>
              <w:rPr>
                <w:webHidden/>
              </w:rPr>
              <w:fldChar w:fldCharType="end"/>
            </w:r>
          </w:hyperlink>
        </w:p>
        <w:p>
          <w:pPr>
            <w:pStyle w:val="Normal"/>
            <w:rPr>
              <w:sz w:val="22"/>
            </w:rPr>
          </w:pPr>
          <w:r>
            <w:rPr>
              <w:sz w:val="22"/>
            </w:rPr>
          </w:r>
          <w:r>
            <w:rPr>
              <w:sz w:val="22"/>
            </w:rPr>
            <w:fldChar w:fldCharType="end"/>
          </w:r>
        </w:p>
      </w:sdtContent>
    </w:sdt>
    <w:p>
      <w:pPr>
        <w:pStyle w:val="Normal"/>
        <w:rPr>
          <w:sz w:val="22"/>
        </w:rPr>
      </w:pPr>
      <w:r>
        <w:rPr>
          <w:sz w:val="22"/>
        </w:rPr>
      </w:r>
    </w:p>
    <w:p>
      <w:pPr>
        <w:pStyle w:val="Normal"/>
        <w:rPr>
          <w:sz w:val="22"/>
        </w:rPr>
      </w:pPr>
      <w:r>
        <w:rPr>
          <w:sz w:val="22"/>
        </w:rPr>
      </w:r>
    </w:p>
    <w:p>
      <w:pPr>
        <w:pStyle w:val="Heading1"/>
        <w:numPr>
          <w:ilvl w:val="0"/>
          <w:numId w:val="1"/>
        </w:numPr>
        <w:rPr>
          <w:rFonts w:ascii="Arial" w:hAnsi="Arial" w:cs="Arial"/>
          <w:sz w:val="20"/>
          <w:szCs w:val="22"/>
        </w:rPr>
      </w:pPr>
      <w:bookmarkStart w:id="0" w:name="__RefHeading___Toc17514_986549989"/>
      <w:bookmarkStart w:id="1" w:name="_Toc172196604"/>
      <w:bookmarkEnd w:id="0"/>
      <w:r>
        <w:rPr>
          <w:rFonts w:cs="Arial" w:ascii="Arial" w:hAnsi="Arial"/>
          <w:sz w:val="20"/>
          <w:szCs w:val="22"/>
        </w:rPr>
        <w:t>PREMESSA</w:t>
      </w:r>
      <w:bookmarkEnd w:id="1"/>
    </w:p>
    <w:p>
      <w:pPr>
        <w:pStyle w:val="Standard"/>
        <w:jc w:val="both"/>
        <w:rPr>
          <w:rFonts w:ascii="Arial" w:hAnsi="Arial"/>
          <w:sz w:val="18"/>
          <w:szCs w:val="20"/>
        </w:rPr>
      </w:pPr>
      <w:r>
        <w:rPr>
          <w:rFonts w:ascii="Arial" w:hAnsi="Arial"/>
          <w:sz w:val="18"/>
          <w:szCs w:val="20"/>
        </w:rPr>
        <w:t>La presente sintesi elenca in ordine i cosiddetti “REQUISITI MINIMI DEI PIANI D’AZIONE” di cui al D.Lgs. 194/2005 allegato 5 punto 4.</w:t>
      </w:r>
    </w:p>
    <w:p>
      <w:pPr>
        <w:pStyle w:val="Standard"/>
        <w:jc w:val="both"/>
        <w:rPr>
          <w:rFonts w:ascii="Arial" w:hAnsi="Arial"/>
          <w:sz w:val="18"/>
          <w:szCs w:val="20"/>
        </w:rPr>
      </w:pPr>
      <w:r>
        <w:rPr>
          <w:rFonts w:ascii="Arial" w:hAnsi="Arial"/>
          <w:sz w:val="18"/>
          <w:szCs w:val="20"/>
        </w:rPr>
      </w:r>
    </w:p>
    <w:p>
      <w:pPr>
        <w:pStyle w:val="Heading1"/>
        <w:numPr>
          <w:ilvl w:val="0"/>
          <w:numId w:val="1"/>
        </w:numPr>
        <w:rPr>
          <w:rFonts w:ascii="Arial" w:hAnsi="Arial" w:cs="Arial"/>
          <w:sz w:val="20"/>
          <w:szCs w:val="22"/>
        </w:rPr>
      </w:pPr>
      <w:bookmarkStart w:id="2" w:name="__RefHeading__18002_1831176500"/>
      <w:bookmarkStart w:id="3" w:name="_Toc172196605"/>
      <w:bookmarkEnd w:id="2"/>
      <w:r>
        <w:rPr>
          <w:rFonts w:cs="Arial" w:ascii="Arial" w:hAnsi="Arial"/>
          <w:sz w:val="20"/>
          <w:szCs w:val="22"/>
        </w:rPr>
        <w:t xml:space="preserve">DESCRIZIONE DELL’AGGLOMERATO, DELLE INFRASTRUTTURE E DELLA ALTRE SORGENTI DA PRENDERE IN CONSIDERAZIONE - </w:t>
      </w:r>
      <w:r>
        <w:rPr>
          <w:rFonts w:cs="Arial" w:ascii="Arial" w:hAnsi="Arial"/>
          <w:i/>
          <w:iCs/>
          <w:sz w:val="20"/>
          <w:szCs w:val="22"/>
        </w:rPr>
        <w:t>Requisito di cui all. 5 D.Lgs. 194/2005 lett.a)</w:t>
      </w:r>
      <w:bookmarkEnd w:id="3"/>
    </w:p>
    <w:p>
      <w:pPr>
        <w:pStyle w:val="Standard"/>
        <w:jc w:val="both"/>
        <w:rPr>
          <w:rFonts w:ascii="Arial" w:hAnsi="Arial"/>
          <w:sz w:val="18"/>
          <w:szCs w:val="20"/>
        </w:rPr>
      </w:pPr>
      <w:r>
        <w:rPr>
          <w:rFonts w:ascii="Arial" w:hAnsi="Arial"/>
          <w:sz w:val="18"/>
          <w:szCs w:val="20"/>
        </w:rPr>
      </w:r>
    </w:p>
    <w:p>
      <w:pPr>
        <w:pStyle w:val="Standard"/>
        <w:jc w:val="both"/>
        <w:rPr>
          <w:rFonts w:ascii="Arial" w:hAnsi="Arial" w:eastAsia="Mangal"/>
          <w:sz w:val="18"/>
          <w:szCs w:val="20"/>
          <w:lang w:eastAsia="hi-IN"/>
        </w:rPr>
      </w:pPr>
      <w:r>
        <w:rPr>
          <w:rFonts w:eastAsia="Mangal" w:ascii="Arial" w:hAnsi="Arial"/>
          <w:sz w:val="18"/>
          <w:szCs w:val="20"/>
          <w:lang w:eastAsia="hi-IN"/>
        </w:rPr>
        <w:t xml:space="preserve">L’Agglomerato di Cagliari, individuato formalmente dalla Regione Sardegna attraverso la D.G.R. 40/24 del 22/07/2008, è costituito dall’insieme dei </w:t>
      </w:r>
      <w:r>
        <w:rPr>
          <w:rFonts w:eastAsia="Mangal" w:ascii="Arial" w:hAnsi="Arial"/>
          <w:b/>
          <w:bCs/>
          <w:i/>
          <w:iCs/>
          <w:sz w:val="18"/>
          <w:szCs w:val="20"/>
          <w:lang w:eastAsia="hi-IN"/>
        </w:rPr>
        <w:t>centri urbani</w:t>
      </w:r>
      <w:r>
        <w:rPr>
          <w:rFonts w:eastAsia="Mangal" w:ascii="Arial" w:hAnsi="Arial"/>
          <w:sz w:val="18"/>
          <w:szCs w:val="20"/>
          <w:lang w:eastAsia="hi-IN"/>
        </w:rPr>
        <w:t xml:space="preserve"> dei seguenti Comuni: </w:t>
      </w:r>
      <w:r>
        <w:rPr>
          <w:rFonts w:eastAsia="ArialMT, Arial" w:ascii="Arial" w:hAnsi="Arial"/>
          <w:sz w:val="18"/>
          <w:szCs w:val="20"/>
          <w:lang w:eastAsia="hi-IN"/>
        </w:rPr>
        <w:t>Cagliari, Elmas, Assemini, Sestu, Selargius, Monserrato, Quartucciu, Quartu Sant'Elena, Settimo San Pietro e Maracalagonis.</w:t>
      </w:r>
    </w:p>
    <w:p>
      <w:pPr>
        <w:pStyle w:val="Standard"/>
        <w:jc w:val="both"/>
        <w:rPr>
          <w:rFonts w:ascii="Arial" w:hAnsi="Arial" w:eastAsia="Mangal"/>
          <w:sz w:val="18"/>
          <w:szCs w:val="20"/>
          <w:lang w:eastAsia="hi-IN"/>
        </w:rPr>
      </w:pPr>
      <w:r>
        <w:rPr>
          <w:rFonts w:eastAsia="ArialMT, Arial" w:ascii="Arial" w:hAnsi="Arial"/>
          <w:sz w:val="18"/>
          <w:szCs w:val="20"/>
          <w:lang w:eastAsia="hi-IN"/>
        </w:rPr>
        <w:t>Il MASE (ex MATTM) ha attribuito all'Agglomerato di Cagliari il codice "</w:t>
      </w:r>
      <w:r>
        <w:rPr>
          <w:rFonts w:eastAsia="ArialMT, Arial" w:ascii="Arial" w:hAnsi="Arial"/>
          <w:b/>
          <w:bCs/>
          <w:sz w:val="18"/>
          <w:szCs w:val="20"/>
          <w:lang w:eastAsia="hi-IN"/>
        </w:rPr>
        <w:t>IT_a_ag00013</w:t>
      </w:r>
      <w:r>
        <w:rPr>
          <w:rFonts w:eastAsia="ArialMT, Arial" w:ascii="Arial" w:hAnsi="Arial"/>
          <w:sz w:val="18"/>
          <w:szCs w:val="20"/>
          <w:lang w:eastAsia="hi-IN"/>
        </w:rPr>
        <w:t>".</w:t>
      </w:r>
    </w:p>
    <w:p>
      <w:pPr>
        <w:pStyle w:val="Standard"/>
        <w:jc w:val="both"/>
        <w:rPr>
          <w:rFonts w:ascii="Arial" w:hAnsi="Arial"/>
          <w:sz w:val="18"/>
          <w:szCs w:val="20"/>
        </w:rPr>
      </w:pPr>
      <w:r>
        <w:rPr>
          <w:rFonts w:ascii="Arial" w:hAnsi="Arial"/>
          <w:sz w:val="18"/>
          <w:szCs w:val="20"/>
        </w:rPr>
        <w:t>Sulla base di tale definizione l’Agglomerato di Cagliari può essere delimitato come indicato nella seguente rappresentazione.</w:t>
      </w:r>
    </w:p>
    <w:p>
      <w:pPr>
        <w:pStyle w:val="Standard"/>
        <w:rPr>
          <w:rFonts w:ascii="Arial" w:hAnsi="Arial"/>
          <w:i/>
          <w:i/>
          <w:iCs/>
          <w:sz w:val="18"/>
          <w:szCs w:val="20"/>
        </w:rPr>
      </w:pPr>
      <w:r>
        <w:rPr/>
        <w:drawing>
          <wp:inline distT="0" distB="0" distL="0" distR="0">
            <wp:extent cx="6120130" cy="4338320"/>
            <wp:effectExtent l="0" t="0" r="0" b="0"/>
            <wp:docPr id="1" name="Immagine 1" descr="Immagine che contiene mappa, testo, atlant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mappa, testo, atlante&#10;&#10;Descrizione generata automaticamente"/>
                    <pic:cNvPicPr>
                      <a:picLocks noChangeAspect="1" noChangeArrowheads="1"/>
                    </pic:cNvPicPr>
                  </pic:nvPicPr>
                  <pic:blipFill>
                    <a:blip r:embed="rId2"/>
                    <a:stretch>
                      <a:fillRect/>
                    </a:stretch>
                  </pic:blipFill>
                  <pic:spPr bwMode="auto">
                    <a:xfrm>
                      <a:off x="0" y="0"/>
                      <a:ext cx="6120130" cy="4338320"/>
                    </a:xfrm>
                    <a:prstGeom prst="rect">
                      <a:avLst/>
                    </a:prstGeom>
                  </pic:spPr>
                </pic:pic>
              </a:graphicData>
            </a:graphic>
          </wp:inline>
        </w:drawing>
      </w:r>
    </w:p>
    <w:p>
      <w:pPr>
        <w:pStyle w:val="FigureTabelle"/>
        <w:rPr>
          <w:sz w:val="18"/>
          <w:lang w:eastAsia="hi-IN"/>
        </w:rPr>
      </w:pPr>
      <w:bookmarkStart w:id="4" w:name="_Toc171964348"/>
      <w:bookmarkStart w:id="5" w:name="_Ref171943329"/>
      <w:r>
        <w:rPr>
          <w:sz w:val="18"/>
        </w:rPr>
        <w:t xml:space="preserve">Figura </w:t>
      </w:r>
      <w:r>
        <w:fldChar w:fldCharType="begin"/>
      </w:r>
      <w:r>
        <w:rPr>
          <w:sz w:val="18"/>
        </w:rPr>
        <w:instrText xml:space="preserve">STYLEREF 1 \s</w:instrText>
      </w:r>
      <w:r>
        <w:rPr>
          <w:sz w:val="18"/>
        </w:rPr>
      </w:r>
      <w:r>
        <w:rPr>
          <w:sz w:val="18"/>
        </w:rPr>
        <w:fldChar w:fldCharType="separate"/>
      </w:r>
      <w:r>
        <w:rPr>
          <w:sz w:val="18"/>
        </w:rPr>
        <w:t>2</w:t>
      </w:r>
      <w:r>
        <w:rPr>
          <w:sz w:val="18"/>
        </w:rPr>
      </w:r>
      <w:r>
        <w:rPr>
          <w:sz w:val="18"/>
        </w:rPr>
        <w:fldChar w:fldCharType="end"/>
      </w:r>
      <w:r>
        <w:rPr>
          <w:sz w:val="18"/>
        </w:rPr>
        <w:t>.</w:t>
      </w:r>
      <w:r>
        <w:rPr>
          <w:sz w:val="18"/>
        </w:rPr>
        <w:fldChar w:fldCharType="begin"/>
      </w:r>
      <w:r>
        <w:rPr>
          <w:sz w:val="18"/>
        </w:rPr>
        <w:instrText xml:space="preserve"> SEQ Figura \* ARABIC </w:instrText>
      </w:r>
      <w:r>
        <w:rPr>
          <w:sz w:val="18"/>
        </w:rPr>
        <w:fldChar w:fldCharType="separate"/>
      </w:r>
      <w:r>
        <w:rPr>
          <w:sz w:val="18"/>
        </w:rPr>
        <w:t>1</w:t>
      </w:r>
      <w:r>
        <w:rPr>
          <w:sz w:val="18"/>
        </w:rPr>
        <w:fldChar w:fldCharType="end"/>
      </w:r>
      <w:bookmarkEnd w:id="5"/>
      <w:r>
        <w:rPr>
          <w:sz w:val="18"/>
        </w:rPr>
        <w:t xml:space="preserve">- </w:t>
      </w:r>
      <w:r>
        <w:rPr>
          <w:sz w:val="18"/>
          <w:lang w:eastAsia="hi-IN"/>
        </w:rPr>
        <w:t>Rappresentazione dell’Agglomerato di Cagliari</w:t>
      </w:r>
      <w:bookmarkEnd w:id="4"/>
    </w:p>
    <w:p>
      <w:pPr>
        <w:pStyle w:val="Standard"/>
        <w:jc w:val="both"/>
        <w:rPr>
          <w:rFonts w:ascii="Arial" w:hAnsi="Arial"/>
          <w:sz w:val="18"/>
          <w:szCs w:val="20"/>
        </w:rPr>
      </w:pPr>
      <w:r>
        <w:rPr>
          <w:rFonts w:ascii="Arial" w:hAnsi="Arial"/>
          <w:sz w:val="18"/>
          <w:szCs w:val="20"/>
        </w:rPr>
      </w:r>
    </w:p>
    <w:p>
      <w:pPr>
        <w:pStyle w:val="Standard"/>
        <w:spacing w:lineRule="auto" w:line="360"/>
        <w:jc w:val="both"/>
        <w:rPr>
          <w:rFonts w:ascii="Arial" w:hAnsi="Arial"/>
          <w:sz w:val="18"/>
          <w:szCs w:val="20"/>
        </w:rPr>
      </w:pPr>
      <w:r>
        <w:rPr>
          <w:rFonts w:ascii="Arial" w:hAnsi="Arial"/>
          <w:sz w:val="18"/>
          <w:szCs w:val="20"/>
        </w:rPr>
        <w:t>Si evidenzia che tale delimitazione dell'Agglomerato così come definito dalla Regione, non rispetta propriamente quanto prescritto dalla direttiva europea 2002/49/CE (densità di popolazione tale da considerarla area urbanizzata) e come recepita dal D.Lgs. n.194/2005, secondo cui l'Agglomerato si definisce come l’insieme di più centri abitati contigui fra loro.</w:t>
      </w:r>
    </w:p>
    <w:p>
      <w:pPr>
        <w:pStyle w:val="Standard"/>
        <w:spacing w:lineRule="auto" w:line="360"/>
        <w:jc w:val="both"/>
        <w:rPr>
          <w:rFonts w:ascii="Arial" w:hAnsi="Arial"/>
          <w:sz w:val="18"/>
          <w:szCs w:val="20"/>
        </w:rPr>
      </w:pPr>
      <w:r>
        <w:rPr>
          <w:rFonts w:ascii="Arial" w:hAnsi="Arial"/>
          <w:sz w:val="18"/>
          <w:szCs w:val="20"/>
        </w:rPr>
        <w:t>Il territorio dell’Agglomerato si estende per circa 230 kmq e interessa circa 350.000 abitanti, suddivisi nei territori comunali secondo l'ultimo censimento ISTAT del 2011. Per l'aggiornamento della mappatura verranno utilizzati i vecchi dati ISTAT 2011 in quanto i dati dell'ultimo censimento 2021 non erano ancora disponibili durante la redazione del seguente lavoro.</w:t>
      </w:r>
    </w:p>
    <w:p>
      <w:pPr>
        <w:pStyle w:val="Standard"/>
        <w:spacing w:lineRule="auto" w:line="360"/>
        <w:jc w:val="both"/>
        <w:rPr>
          <w:rFonts w:ascii="Arial" w:hAnsi="Arial"/>
          <w:sz w:val="18"/>
          <w:szCs w:val="20"/>
        </w:rPr>
      </w:pPr>
      <w:r>
        <w:rPr>
          <w:rFonts w:ascii="Arial" w:hAnsi="Arial"/>
          <w:sz w:val="18"/>
          <w:szCs w:val="20"/>
        </w:rPr>
        <w:t>Per completezza forniamo il confronto tra i censimenti della popolazione 2011 e 2020 (dati al 31/12/2021 https://www.istat.it/it/archivio/268393, pubblicati il 23 marzo 2022).</w:t>
      </w:r>
    </w:p>
    <w:p>
      <w:pPr>
        <w:pStyle w:val="Standard"/>
        <w:spacing w:lineRule="auto" w:line="360"/>
        <w:jc w:val="both"/>
        <w:rPr>
          <w:rFonts w:ascii="Arial" w:hAnsi="Arial"/>
          <w:sz w:val="18"/>
          <w:szCs w:val="20"/>
        </w:rPr>
      </w:pPr>
      <w:r>
        <w:rPr>
          <w:rFonts w:ascii="Arial" w:hAnsi="Arial"/>
          <w:sz w:val="18"/>
          <w:szCs w:val="20"/>
        </w:rPr>
      </w:r>
    </w:p>
    <w:tbl>
      <w:tblPr>
        <w:tblW w:w="8760" w:type="dxa"/>
        <w:jc w:val="left"/>
        <w:tblInd w:w="58" w:type="dxa"/>
        <w:tblLayout w:type="fixed"/>
        <w:tblCellMar>
          <w:top w:w="0" w:type="dxa"/>
          <w:left w:w="70" w:type="dxa"/>
          <w:bottom w:w="0" w:type="dxa"/>
          <w:right w:w="70" w:type="dxa"/>
        </w:tblCellMar>
        <w:tblLook w:firstRow="1" w:noVBand="1" w:lastRow="0" w:firstColumn="1" w:lastColumn="0" w:noHBand="0" w:val="04a0"/>
      </w:tblPr>
      <w:tblGrid>
        <w:gridCol w:w="1920"/>
        <w:gridCol w:w="1259"/>
        <w:gridCol w:w="1280"/>
        <w:gridCol w:w="1242"/>
        <w:gridCol w:w="1478"/>
        <w:gridCol w:w="1580"/>
      </w:tblGrid>
      <w:tr>
        <w:trPr>
          <w:trHeight w:val="870" w:hRule="atLeast"/>
        </w:trPr>
        <w:tc>
          <w:tcPr>
            <w:tcW w:w="19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rFonts w:ascii="Arial" w:hAnsi="Arial" w:cs="Arial"/>
                <w:b/>
                <w:sz w:val="16"/>
                <w:szCs w:val="18"/>
              </w:rPr>
            </w:pPr>
            <w:r>
              <w:rPr>
                <w:rFonts w:cs="Arial" w:ascii="Arial" w:hAnsi="Arial"/>
                <w:b/>
                <w:sz w:val="16"/>
                <w:szCs w:val="18"/>
              </w:rPr>
              <w:t>Comune</w:t>
            </w:r>
          </w:p>
        </w:tc>
        <w:tc>
          <w:tcPr>
            <w:tcW w:w="1259" w:type="dxa"/>
            <w:tcBorders>
              <w:top w:val="single" w:sz="4" w:space="0" w:color="000000"/>
              <w:bottom w:val="single" w:sz="4" w:space="0" w:color="000000"/>
              <w:right w:val="single" w:sz="4" w:space="0" w:color="000000"/>
            </w:tcBorders>
            <w:shd w:color="auto" w:fill="auto" w:val="clear"/>
            <w:vAlign w:val="center"/>
          </w:tcPr>
          <w:p>
            <w:pPr>
              <w:pStyle w:val="Normal"/>
              <w:rPr>
                <w:rFonts w:ascii="Arial" w:hAnsi="Arial" w:cs="Arial"/>
                <w:b/>
                <w:sz w:val="16"/>
                <w:szCs w:val="18"/>
              </w:rPr>
            </w:pPr>
            <w:r>
              <w:rPr>
                <w:rFonts w:cs="Arial" w:ascii="Arial" w:hAnsi="Arial"/>
                <w:b/>
                <w:sz w:val="16"/>
                <w:szCs w:val="18"/>
              </w:rPr>
              <w:t>Popolazione Censita 2011</w:t>
            </w:r>
          </w:p>
        </w:tc>
        <w:tc>
          <w:tcPr>
            <w:tcW w:w="1280" w:type="dxa"/>
            <w:tcBorders>
              <w:top w:val="single" w:sz="4" w:space="0" w:color="000000"/>
              <w:bottom w:val="single" w:sz="4" w:space="0" w:color="000000"/>
              <w:right w:val="single" w:sz="4" w:space="0" w:color="000000"/>
            </w:tcBorders>
            <w:shd w:color="auto" w:fill="auto" w:val="clear"/>
            <w:vAlign w:val="center"/>
          </w:tcPr>
          <w:p>
            <w:pPr>
              <w:pStyle w:val="Normal"/>
              <w:rPr>
                <w:rFonts w:ascii="Arial" w:hAnsi="Arial" w:cs="Arial"/>
                <w:b/>
                <w:sz w:val="16"/>
                <w:szCs w:val="18"/>
              </w:rPr>
            </w:pPr>
            <w:r>
              <w:rPr>
                <w:rFonts w:cs="Arial" w:ascii="Arial" w:hAnsi="Arial"/>
                <w:b/>
                <w:sz w:val="16"/>
                <w:szCs w:val="18"/>
              </w:rPr>
              <w:t>Popolazione Censita 2020</w:t>
            </w:r>
          </w:p>
        </w:tc>
        <w:tc>
          <w:tcPr>
            <w:tcW w:w="1242" w:type="dxa"/>
            <w:tcBorders>
              <w:top w:val="single" w:sz="4" w:space="0" w:color="000000"/>
              <w:bottom w:val="single" w:sz="4" w:space="0" w:color="000000"/>
              <w:right w:val="single" w:sz="4" w:space="0" w:color="000000"/>
            </w:tcBorders>
            <w:shd w:color="auto" w:fill="auto" w:val="clear"/>
            <w:vAlign w:val="center"/>
          </w:tcPr>
          <w:p>
            <w:pPr>
              <w:pStyle w:val="Normal"/>
              <w:rPr>
                <w:rFonts w:ascii="Arial" w:hAnsi="Arial" w:cs="Arial"/>
                <w:b/>
                <w:sz w:val="16"/>
                <w:szCs w:val="18"/>
              </w:rPr>
            </w:pPr>
            <w:r>
              <w:rPr>
                <w:rFonts w:cs="Arial" w:ascii="Arial" w:hAnsi="Arial"/>
                <w:b/>
                <w:sz w:val="16"/>
                <w:szCs w:val="18"/>
              </w:rPr>
              <w:t>VARIAZIONE 2011-20</w:t>
            </w:r>
          </w:p>
        </w:tc>
        <w:tc>
          <w:tcPr>
            <w:tcW w:w="1478" w:type="dxa"/>
            <w:tcBorders>
              <w:top w:val="single" w:sz="4" w:space="0" w:color="000000"/>
              <w:bottom w:val="single" w:sz="4" w:space="0" w:color="000000"/>
              <w:right w:val="single" w:sz="4" w:space="0" w:color="000000"/>
            </w:tcBorders>
            <w:shd w:color="auto" w:fill="auto" w:val="clear"/>
            <w:vAlign w:val="center"/>
          </w:tcPr>
          <w:p>
            <w:pPr>
              <w:pStyle w:val="Normal"/>
              <w:rPr>
                <w:rFonts w:ascii="Arial" w:hAnsi="Arial" w:cs="Arial"/>
                <w:b/>
                <w:sz w:val="16"/>
                <w:szCs w:val="18"/>
              </w:rPr>
            </w:pPr>
            <w:r>
              <w:rPr>
                <w:rFonts w:cs="Arial" w:ascii="Arial" w:hAnsi="Arial"/>
                <w:b/>
                <w:sz w:val="16"/>
                <w:szCs w:val="18"/>
              </w:rPr>
              <w:t>VARIAZIONE % 2011-20</w:t>
            </w:r>
          </w:p>
        </w:tc>
        <w:tc>
          <w:tcPr>
            <w:tcW w:w="1580" w:type="dxa"/>
            <w:tcBorders>
              <w:top w:val="single" w:sz="4" w:space="0" w:color="000000"/>
              <w:bottom w:val="single" w:sz="4" w:space="0" w:color="000000"/>
              <w:right w:val="single" w:sz="4" w:space="0" w:color="000000"/>
            </w:tcBorders>
            <w:shd w:color="auto" w:fill="auto" w:val="clear"/>
            <w:vAlign w:val="center"/>
          </w:tcPr>
          <w:p>
            <w:pPr>
              <w:pStyle w:val="Normal"/>
              <w:rPr>
                <w:rFonts w:ascii="Arial" w:hAnsi="Arial" w:cs="Arial"/>
                <w:b/>
                <w:sz w:val="16"/>
                <w:szCs w:val="18"/>
              </w:rPr>
            </w:pPr>
            <w:r>
              <w:rPr>
                <w:rFonts w:cs="Arial" w:ascii="Arial" w:hAnsi="Arial"/>
                <w:b/>
                <w:sz w:val="16"/>
                <w:szCs w:val="18"/>
              </w:rPr>
              <w:t>VARIAZIONE % SUL TOTALE</w:t>
            </w:r>
          </w:p>
        </w:tc>
      </w:tr>
      <w:tr>
        <w:trPr>
          <w:trHeight w:val="300" w:hRule="atLeast"/>
        </w:trPr>
        <w:tc>
          <w:tcPr>
            <w:tcW w:w="1920" w:type="dxa"/>
            <w:tcBorders>
              <w:left w:val="single" w:sz="4" w:space="0" w:color="000000"/>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Assemini</w:t>
            </w:r>
          </w:p>
        </w:tc>
        <w:tc>
          <w:tcPr>
            <w:tcW w:w="1259"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25668</w:t>
            </w:r>
          </w:p>
        </w:tc>
        <w:tc>
          <w:tcPr>
            <w:tcW w:w="12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26291</w:t>
            </w:r>
          </w:p>
        </w:tc>
        <w:tc>
          <w:tcPr>
            <w:tcW w:w="1242"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623</w:t>
            </w:r>
          </w:p>
        </w:tc>
        <w:tc>
          <w:tcPr>
            <w:tcW w:w="1478"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2,4</w:t>
            </w:r>
          </w:p>
        </w:tc>
        <w:tc>
          <w:tcPr>
            <w:tcW w:w="15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8,7</w:t>
            </w:r>
          </w:p>
        </w:tc>
      </w:tr>
      <w:tr>
        <w:trPr>
          <w:trHeight w:val="300" w:hRule="atLeast"/>
        </w:trPr>
        <w:tc>
          <w:tcPr>
            <w:tcW w:w="1920" w:type="dxa"/>
            <w:tcBorders>
              <w:left w:val="single" w:sz="4" w:space="0" w:color="000000"/>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Cagliari</w:t>
            </w:r>
          </w:p>
        </w:tc>
        <w:tc>
          <w:tcPr>
            <w:tcW w:w="1259"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147235</w:t>
            </w:r>
          </w:p>
        </w:tc>
        <w:tc>
          <w:tcPr>
            <w:tcW w:w="12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149572</w:t>
            </w:r>
          </w:p>
        </w:tc>
        <w:tc>
          <w:tcPr>
            <w:tcW w:w="1242"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2337</w:t>
            </w:r>
          </w:p>
        </w:tc>
        <w:tc>
          <w:tcPr>
            <w:tcW w:w="1478"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1,6</w:t>
            </w:r>
          </w:p>
        </w:tc>
        <w:tc>
          <w:tcPr>
            <w:tcW w:w="15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32,6</w:t>
            </w:r>
          </w:p>
        </w:tc>
      </w:tr>
      <w:tr>
        <w:trPr>
          <w:trHeight w:val="300" w:hRule="atLeast"/>
        </w:trPr>
        <w:tc>
          <w:tcPr>
            <w:tcW w:w="1920" w:type="dxa"/>
            <w:tcBorders>
              <w:left w:val="single" w:sz="4" w:space="0" w:color="000000"/>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Elmas</w:t>
            </w:r>
          </w:p>
        </w:tc>
        <w:tc>
          <w:tcPr>
            <w:tcW w:w="1259"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8298</w:t>
            </w:r>
          </w:p>
        </w:tc>
        <w:tc>
          <w:tcPr>
            <w:tcW w:w="12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9349</w:t>
            </w:r>
          </w:p>
        </w:tc>
        <w:tc>
          <w:tcPr>
            <w:tcW w:w="1242"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1051</w:t>
            </w:r>
          </w:p>
        </w:tc>
        <w:tc>
          <w:tcPr>
            <w:tcW w:w="1478"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11,2</w:t>
            </w:r>
          </w:p>
        </w:tc>
        <w:tc>
          <w:tcPr>
            <w:tcW w:w="15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14,7</w:t>
            </w:r>
          </w:p>
        </w:tc>
      </w:tr>
      <w:tr>
        <w:trPr>
          <w:trHeight w:val="300" w:hRule="atLeast"/>
        </w:trPr>
        <w:tc>
          <w:tcPr>
            <w:tcW w:w="1920" w:type="dxa"/>
            <w:tcBorders>
              <w:left w:val="single" w:sz="4" w:space="0" w:color="000000"/>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Maracalagonis</w:t>
            </w:r>
          </w:p>
        </w:tc>
        <w:tc>
          <w:tcPr>
            <w:tcW w:w="1259"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7391</w:t>
            </w:r>
          </w:p>
        </w:tc>
        <w:tc>
          <w:tcPr>
            <w:tcW w:w="12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7888</w:t>
            </w:r>
          </w:p>
        </w:tc>
        <w:tc>
          <w:tcPr>
            <w:tcW w:w="1242"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497</w:t>
            </w:r>
          </w:p>
        </w:tc>
        <w:tc>
          <w:tcPr>
            <w:tcW w:w="1478"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6,3</w:t>
            </w:r>
          </w:p>
        </w:tc>
        <w:tc>
          <w:tcPr>
            <w:tcW w:w="15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6,9</w:t>
            </w:r>
          </w:p>
        </w:tc>
      </w:tr>
      <w:tr>
        <w:trPr>
          <w:trHeight w:val="300" w:hRule="atLeast"/>
        </w:trPr>
        <w:tc>
          <w:tcPr>
            <w:tcW w:w="1920" w:type="dxa"/>
            <w:tcBorders>
              <w:left w:val="single" w:sz="4" w:space="0" w:color="000000"/>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Monserrato</w:t>
            </w:r>
          </w:p>
        </w:tc>
        <w:tc>
          <w:tcPr>
            <w:tcW w:w="1259"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19710</w:t>
            </w:r>
          </w:p>
        </w:tc>
        <w:tc>
          <w:tcPr>
            <w:tcW w:w="12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19175</w:t>
            </w:r>
          </w:p>
        </w:tc>
        <w:tc>
          <w:tcPr>
            <w:tcW w:w="1242"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-535</w:t>
            </w:r>
          </w:p>
        </w:tc>
        <w:tc>
          <w:tcPr>
            <w:tcW w:w="1478"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-2,8</w:t>
            </w:r>
          </w:p>
        </w:tc>
        <w:tc>
          <w:tcPr>
            <w:tcW w:w="15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-7,5</w:t>
            </w:r>
          </w:p>
        </w:tc>
      </w:tr>
      <w:tr>
        <w:trPr>
          <w:trHeight w:val="300" w:hRule="atLeast"/>
        </w:trPr>
        <w:tc>
          <w:tcPr>
            <w:tcW w:w="1920" w:type="dxa"/>
            <w:tcBorders>
              <w:left w:val="single" w:sz="4" w:space="0" w:color="000000"/>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Quartu Sant'Elena</w:t>
            </w:r>
          </w:p>
        </w:tc>
        <w:tc>
          <w:tcPr>
            <w:tcW w:w="1259"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68786</w:t>
            </w:r>
          </w:p>
        </w:tc>
        <w:tc>
          <w:tcPr>
            <w:tcW w:w="12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68640</w:t>
            </w:r>
          </w:p>
        </w:tc>
        <w:tc>
          <w:tcPr>
            <w:tcW w:w="1242"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-146</w:t>
            </w:r>
          </w:p>
        </w:tc>
        <w:tc>
          <w:tcPr>
            <w:tcW w:w="1478"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-0,2</w:t>
            </w:r>
          </w:p>
        </w:tc>
        <w:tc>
          <w:tcPr>
            <w:tcW w:w="15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-2,0</w:t>
            </w:r>
          </w:p>
        </w:tc>
      </w:tr>
      <w:tr>
        <w:trPr>
          <w:trHeight w:val="300" w:hRule="atLeast"/>
        </w:trPr>
        <w:tc>
          <w:tcPr>
            <w:tcW w:w="1920" w:type="dxa"/>
            <w:tcBorders>
              <w:left w:val="single" w:sz="4" w:space="0" w:color="000000"/>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Quartucciu</w:t>
            </w:r>
          </w:p>
        </w:tc>
        <w:tc>
          <w:tcPr>
            <w:tcW w:w="1259"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11200</w:t>
            </w:r>
          </w:p>
        </w:tc>
        <w:tc>
          <w:tcPr>
            <w:tcW w:w="12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12864</w:t>
            </w:r>
          </w:p>
        </w:tc>
        <w:tc>
          <w:tcPr>
            <w:tcW w:w="1242"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1664</w:t>
            </w:r>
          </w:p>
        </w:tc>
        <w:tc>
          <w:tcPr>
            <w:tcW w:w="1478"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12,9</w:t>
            </w:r>
          </w:p>
        </w:tc>
        <w:tc>
          <w:tcPr>
            <w:tcW w:w="15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23,2</w:t>
            </w:r>
          </w:p>
        </w:tc>
      </w:tr>
      <w:tr>
        <w:trPr>
          <w:trHeight w:val="300" w:hRule="atLeast"/>
        </w:trPr>
        <w:tc>
          <w:tcPr>
            <w:tcW w:w="1920" w:type="dxa"/>
            <w:tcBorders>
              <w:left w:val="single" w:sz="4" w:space="0" w:color="000000"/>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Selargius</w:t>
            </w:r>
          </w:p>
        </w:tc>
        <w:tc>
          <w:tcPr>
            <w:tcW w:w="1259"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29301</w:t>
            </w:r>
          </w:p>
        </w:tc>
        <w:tc>
          <w:tcPr>
            <w:tcW w:w="12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28655</w:t>
            </w:r>
          </w:p>
        </w:tc>
        <w:tc>
          <w:tcPr>
            <w:tcW w:w="1242"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-646</w:t>
            </w:r>
          </w:p>
        </w:tc>
        <w:tc>
          <w:tcPr>
            <w:tcW w:w="1478"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-2,3</w:t>
            </w:r>
          </w:p>
        </w:tc>
        <w:tc>
          <w:tcPr>
            <w:tcW w:w="15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-9,0</w:t>
            </w:r>
          </w:p>
        </w:tc>
      </w:tr>
      <w:tr>
        <w:trPr>
          <w:trHeight w:val="300" w:hRule="atLeast"/>
        </w:trPr>
        <w:tc>
          <w:tcPr>
            <w:tcW w:w="1920" w:type="dxa"/>
            <w:tcBorders>
              <w:left w:val="single" w:sz="4" w:space="0" w:color="000000"/>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Sestu</w:t>
            </w:r>
          </w:p>
        </w:tc>
        <w:tc>
          <w:tcPr>
            <w:tcW w:w="1259"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19272</w:t>
            </w:r>
          </w:p>
        </w:tc>
        <w:tc>
          <w:tcPr>
            <w:tcW w:w="12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20772</w:t>
            </w:r>
          </w:p>
        </w:tc>
        <w:tc>
          <w:tcPr>
            <w:tcW w:w="1242"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1500</w:t>
            </w:r>
          </w:p>
        </w:tc>
        <w:tc>
          <w:tcPr>
            <w:tcW w:w="1478"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7,2</w:t>
            </w:r>
          </w:p>
        </w:tc>
        <w:tc>
          <w:tcPr>
            <w:tcW w:w="15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20,9</w:t>
            </w:r>
          </w:p>
        </w:tc>
      </w:tr>
      <w:tr>
        <w:trPr>
          <w:trHeight w:val="300" w:hRule="atLeast"/>
        </w:trPr>
        <w:tc>
          <w:tcPr>
            <w:tcW w:w="1920" w:type="dxa"/>
            <w:tcBorders>
              <w:left w:val="single" w:sz="4" w:space="0" w:color="000000"/>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Settimo San Pietro</w:t>
            </w:r>
          </w:p>
        </w:tc>
        <w:tc>
          <w:tcPr>
            <w:tcW w:w="1259"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5949</w:t>
            </w:r>
          </w:p>
        </w:tc>
        <w:tc>
          <w:tcPr>
            <w:tcW w:w="12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6776</w:t>
            </w:r>
          </w:p>
        </w:tc>
        <w:tc>
          <w:tcPr>
            <w:tcW w:w="1242"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827</w:t>
            </w:r>
          </w:p>
        </w:tc>
        <w:tc>
          <w:tcPr>
            <w:tcW w:w="1478"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12,2</w:t>
            </w:r>
          </w:p>
        </w:tc>
        <w:tc>
          <w:tcPr>
            <w:tcW w:w="15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11,5</w:t>
            </w:r>
          </w:p>
        </w:tc>
      </w:tr>
      <w:tr>
        <w:trPr>
          <w:trHeight w:val="300" w:hRule="atLeast"/>
        </w:trPr>
        <w:tc>
          <w:tcPr>
            <w:tcW w:w="1920" w:type="dxa"/>
            <w:tcBorders>
              <w:left w:val="single" w:sz="4" w:space="0" w:color="000000"/>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TOTALE</w:t>
            </w:r>
          </w:p>
        </w:tc>
        <w:tc>
          <w:tcPr>
            <w:tcW w:w="1259"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342810</w:t>
            </w:r>
          </w:p>
        </w:tc>
        <w:tc>
          <w:tcPr>
            <w:tcW w:w="12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349982</w:t>
            </w:r>
          </w:p>
        </w:tc>
        <w:tc>
          <w:tcPr>
            <w:tcW w:w="1242"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7172</w:t>
            </w:r>
          </w:p>
        </w:tc>
        <w:tc>
          <w:tcPr>
            <w:tcW w:w="1478"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2,0</w:t>
            </w:r>
          </w:p>
        </w:tc>
        <w:tc>
          <w:tcPr>
            <w:tcW w:w="1580" w:type="dxa"/>
            <w:tcBorders>
              <w:bottom w:val="single" w:sz="4" w:space="0" w:color="000000"/>
              <w:right w:val="single" w:sz="4" w:space="0" w:color="000000"/>
            </w:tcBorders>
            <w:shd w:color="auto" w:fill="auto" w:val="clear"/>
            <w:vAlign w:val="center"/>
          </w:tcPr>
          <w:p>
            <w:pPr>
              <w:pStyle w:val="Normal"/>
              <w:rPr>
                <w:rFonts w:ascii="Arial" w:hAnsi="Arial" w:cs="Arial"/>
                <w:sz w:val="16"/>
                <w:szCs w:val="18"/>
              </w:rPr>
            </w:pPr>
            <w:r>
              <w:rPr>
                <w:rFonts w:cs="Arial" w:ascii="Arial" w:hAnsi="Arial"/>
                <w:sz w:val="16"/>
                <w:szCs w:val="18"/>
              </w:rPr>
              <w:t>100,0</w:t>
            </w:r>
          </w:p>
        </w:tc>
      </w:tr>
    </w:tbl>
    <w:p>
      <w:pPr>
        <w:pStyle w:val="NormaleCorpo"/>
        <w:rPr>
          <w:rFonts w:ascii="Arial" w:hAnsi="Arial" w:cs="Arial"/>
          <w:sz w:val="18"/>
        </w:rPr>
      </w:pPr>
      <w:r>
        <w:rPr>
          <w:rFonts w:cs="Arial" w:ascii="Arial" w:hAnsi="Arial"/>
          <w:sz w:val="18"/>
        </w:rPr>
        <w:t>La popolazione residente nell'Agglomerato di ciascun comune è stata calcolata mediante l'utilizzo delle sezioni censuarie comunali ISTAT censite nel 2021, ricadenti all'interno delle aree facenti parte dell'Agglomerato di Cagliari (vedi rappresentazione) e interpolando i dati per quelle parzialmente ricadenti.</w:t>
      </w:r>
    </w:p>
    <w:p>
      <w:pPr>
        <w:pStyle w:val="NormaleCorpo"/>
        <w:rPr>
          <w:rFonts w:ascii="Arial" w:hAnsi="Arial" w:cs="Arial"/>
          <w:sz w:val="18"/>
        </w:rPr>
      </w:pPr>
      <w:r>
        <w:rPr>
          <w:rFonts w:cs="Arial" w:ascii="Arial" w:hAnsi="Arial"/>
          <w:sz w:val="18"/>
        </w:rPr>
        <w:t>Le città di Cagliari e Quartu S.Elena costituiscono insieme circa il 50 % della superficie complessiva dell’Agglomerato e risiede approssimativamente il 63% della popolazione; i restanti comuni coprono il rimanente 50% del territorio dell'Agglomerato con una popolazione pari al 38% dei residenti dell'Agglomerato.</w:t>
      </w:r>
    </w:p>
    <w:p>
      <w:pPr>
        <w:pStyle w:val="NormaleCorpo"/>
        <w:rPr>
          <w:rFonts w:ascii="Arial" w:hAnsi="Arial" w:cs="Arial"/>
          <w:sz w:val="18"/>
        </w:rPr>
      </w:pPr>
      <w:r>
        <w:rPr>
          <w:rFonts w:cs="Arial" w:ascii="Arial" w:hAnsi="Arial"/>
          <w:sz w:val="18"/>
        </w:rPr>
        <w:t>Le sorgenti sonore da analizzare possono essere sinteticamente descritte come segue:</w:t>
      </w:r>
    </w:p>
    <w:p>
      <w:pPr>
        <w:pStyle w:val="NormaleCorpo"/>
        <w:numPr>
          <w:ilvl w:val="0"/>
          <w:numId w:val="2"/>
        </w:numPr>
        <w:rPr>
          <w:rFonts w:ascii="Arial" w:hAnsi="Arial" w:cs="Arial"/>
          <w:sz w:val="18"/>
        </w:rPr>
      </w:pPr>
      <w:r>
        <w:rPr>
          <w:rFonts w:cs="Arial" w:ascii="Arial" w:hAnsi="Arial"/>
          <w:sz w:val="18"/>
        </w:rPr>
        <w:t>~ 1.500 km di infrastrutture stradali;</w:t>
      </w:r>
    </w:p>
    <w:p>
      <w:pPr>
        <w:pStyle w:val="NormaleCorpo"/>
        <w:numPr>
          <w:ilvl w:val="0"/>
          <w:numId w:val="2"/>
        </w:numPr>
        <w:rPr>
          <w:rFonts w:ascii="Arial" w:hAnsi="Arial" w:cs="Arial"/>
          <w:sz w:val="18"/>
        </w:rPr>
      </w:pPr>
      <w:r>
        <w:rPr>
          <w:rFonts w:cs="Arial" w:ascii="Arial" w:hAnsi="Arial"/>
          <w:sz w:val="18"/>
        </w:rPr>
        <w:t>~ 30 km di infrastrutture ferroviarie e metrotranviarie;</w:t>
      </w:r>
    </w:p>
    <w:p>
      <w:pPr>
        <w:pStyle w:val="NormaleCorpo"/>
        <w:numPr>
          <w:ilvl w:val="0"/>
          <w:numId w:val="2"/>
        </w:numPr>
        <w:rPr>
          <w:rFonts w:ascii="Arial" w:hAnsi="Arial" w:cs="Arial"/>
          <w:sz w:val="18"/>
        </w:rPr>
      </w:pPr>
      <w:r>
        <w:rPr>
          <w:rFonts w:cs="Arial" w:ascii="Arial" w:hAnsi="Arial"/>
          <w:sz w:val="18"/>
        </w:rPr>
        <w:t>l'area industriale di Macchiareddu, 26 zone a destinazione urbanistica “industriale” all'interno delle quali sono ricompresi 11 stabilimenti/attività produttive assoggettate ad autorizzazione integrata ambientale (A.I.A.);</w:t>
      </w:r>
    </w:p>
    <w:p>
      <w:pPr>
        <w:pStyle w:val="NormaleCorpo"/>
        <w:numPr>
          <w:ilvl w:val="0"/>
          <w:numId w:val="2"/>
        </w:numPr>
        <w:rPr>
          <w:rFonts w:ascii="Arial" w:hAnsi="Arial" w:cs="Arial"/>
          <w:sz w:val="18"/>
        </w:rPr>
      </w:pPr>
      <w:r>
        <w:rPr>
          <w:rFonts w:cs="Arial" w:ascii="Arial" w:hAnsi="Arial"/>
          <w:sz w:val="18"/>
        </w:rPr>
        <w:t>un porto commerciale e industriale;</w:t>
      </w:r>
    </w:p>
    <w:p>
      <w:pPr>
        <w:pStyle w:val="NormaleCorpo"/>
        <w:numPr>
          <w:ilvl w:val="0"/>
          <w:numId w:val="2"/>
        </w:numPr>
        <w:rPr>
          <w:rFonts w:ascii="Arial" w:hAnsi="Arial" w:cs="Arial"/>
          <w:sz w:val="18"/>
        </w:rPr>
      </w:pPr>
      <w:r>
        <w:rPr>
          <w:rFonts w:cs="Arial" w:ascii="Arial" w:hAnsi="Arial"/>
          <w:sz w:val="18"/>
        </w:rPr>
        <w:t>l’aeroporto internazionale di Cagliari-Elmas.</w:t>
      </w:r>
    </w:p>
    <w:p>
      <w:pPr>
        <w:pStyle w:val="Standard"/>
        <w:rPr>
          <w:rFonts w:ascii="Arial" w:hAnsi="Arial" w:cs="Arial"/>
          <w:sz w:val="14"/>
          <w:szCs w:val="20"/>
        </w:rPr>
      </w:pPr>
      <w:r>
        <w:rPr>
          <w:rFonts w:cs="Arial" w:ascii="Arial" w:hAnsi="Arial"/>
          <w:sz w:val="14"/>
          <w:szCs w:val="20"/>
        </w:rPr>
      </w:r>
    </w:p>
    <w:p>
      <w:pPr>
        <w:pStyle w:val="Heading1"/>
        <w:numPr>
          <w:ilvl w:val="0"/>
          <w:numId w:val="1"/>
        </w:numPr>
        <w:rPr>
          <w:rFonts w:ascii="Arial" w:hAnsi="Arial" w:cs="Arial"/>
          <w:sz w:val="18"/>
          <w:szCs w:val="20"/>
        </w:rPr>
      </w:pPr>
      <w:bookmarkStart w:id="6" w:name="__RefHeading__18004_1831176500"/>
      <w:bookmarkStart w:id="7" w:name="_Toc172196606"/>
      <w:bookmarkEnd w:id="6"/>
      <w:r>
        <w:rPr>
          <w:rFonts w:cs="Arial" w:ascii="Arial" w:hAnsi="Arial"/>
          <w:sz w:val="18"/>
          <w:szCs w:val="20"/>
        </w:rPr>
        <w:t>AUTORITÀ COMPETENTE - Requisito di cui all. 5 D.Lgs. 194/2005 lett.b)</w:t>
      </w:r>
      <w:bookmarkEnd w:id="7"/>
    </w:p>
    <w:p>
      <w:pPr>
        <w:pStyle w:val="Standard"/>
        <w:jc w:val="both"/>
        <w:rPr>
          <w:rFonts w:ascii="Arial" w:hAnsi="Arial"/>
          <w:sz w:val="18"/>
          <w:szCs w:val="20"/>
        </w:rPr>
      </w:pPr>
      <w:r>
        <w:rPr>
          <w:rFonts w:ascii="Arial" w:hAnsi="Arial"/>
          <w:sz w:val="18"/>
          <w:szCs w:val="20"/>
        </w:rPr>
      </w:r>
    </w:p>
    <w:p>
      <w:pPr>
        <w:pStyle w:val="NormaleCorpo"/>
        <w:spacing w:lineRule="auto" w:line="360"/>
        <w:rPr>
          <w:rFonts w:ascii="Arial" w:hAnsi="Arial" w:cs="Arial"/>
          <w:sz w:val="18"/>
          <w:szCs w:val="20"/>
        </w:rPr>
      </w:pPr>
      <w:r>
        <w:rPr>
          <w:rFonts w:cs="Arial" w:ascii="Arial" w:hAnsi="Arial"/>
          <w:sz w:val="18"/>
          <w:szCs w:val="20"/>
        </w:rPr>
        <w:t>La Regione Autonoma della Sardegna – di seguito RAS - in ottemperanza a quanto disposto dal D.Lgs. 194/2005 “</w:t>
      </w:r>
      <w:r>
        <w:rPr>
          <w:rFonts w:eastAsia="Helvetica-Oblique" w:cs="Arial" w:ascii="Arial" w:hAnsi="Arial"/>
          <w:i/>
          <w:iCs/>
          <w:sz w:val="18"/>
          <w:szCs w:val="20"/>
        </w:rPr>
        <w:t>Attuazione della direttiva 2002/49/CE relativa alla determinazione e alla gestione del rumore ambientale</w:t>
      </w:r>
      <w:r>
        <w:rPr>
          <w:rFonts w:cs="Arial" w:ascii="Arial" w:hAnsi="Arial"/>
          <w:sz w:val="18"/>
          <w:szCs w:val="20"/>
        </w:rPr>
        <w:t>”, ha deliberato in merito all’individuazione dell’Autorità preposta e degli agglomerati con apposita deliberazione di Giunta Regionale 40/24 del 22/07/2008.</w:t>
      </w:r>
    </w:p>
    <w:p>
      <w:pPr>
        <w:pStyle w:val="NormaleCorpo"/>
        <w:spacing w:lineRule="auto" w:line="360"/>
        <w:rPr>
          <w:rFonts w:ascii="Arial" w:hAnsi="Arial" w:cs="Arial"/>
          <w:sz w:val="18"/>
          <w:szCs w:val="20"/>
        </w:rPr>
      </w:pPr>
      <w:r>
        <w:rPr>
          <w:rFonts w:cs="Arial" w:ascii="Arial" w:hAnsi="Arial"/>
          <w:sz w:val="18"/>
          <w:szCs w:val="20"/>
        </w:rPr>
        <w:t>Nella succitata deliberazione, la RAS ha individuato la ex-Provincia di Cagliari ora Città Metropolitana di Cagliari ai sensi della L.R. 2/2016, quale Autorità preposta alla mappatura acustica ed al piano d’azione ed ha definito come “Agglomerato” il complesso dei centri abitati dei Comuni di Cagliari, Elmas, Assemini, Sestu, Selargius, Monserrato, Quartucciu, Quartu S.Elena, Settimo S.Pietro e Maracalagonis ricadenti nei confini della Città Metropolitana di Cagliari.</w:t>
      </w:r>
    </w:p>
    <w:p>
      <w:pPr>
        <w:pStyle w:val="Heading1"/>
        <w:numPr>
          <w:ilvl w:val="0"/>
          <w:numId w:val="1"/>
        </w:numPr>
        <w:rPr>
          <w:rFonts w:ascii="Arial" w:hAnsi="Arial" w:cs="Arial"/>
          <w:sz w:val="18"/>
          <w:szCs w:val="20"/>
        </w:rPr>
      </w:pPr>
      <w:bookmarkStart w:id="8" w:name="__RefHeading__18006_1831176500"/>
      <w:bookmarkStart w:id="9" w:name="_Toc172196607"/>
      <w:bookmarkEnd w:id="8"/>
      <w:r>
        <w:rPr>
          <w:rFonts w:cs="Arial" w:ascii="Arial" w:hAnsi="Arial"/>
          <w:sz w:val="18"/>
          <w:szCs w:val="20"/>
        </w:rPr>
        <w:t>CONTESTO GIURIDICO - Requisito di cui all. 5 D.Lgs. 194/2005 lett.c)</w:t>
      </w:r>
      <w:bookmarkEnd w:id="9"/>
    </w:p>
    <w:p>
      <w:pPr>
        <w:pStyle w:val="Standard"/>
        <w:rPr>
          <w:rFonts w:ascii="Arial" w:hAnsi="Arial"/>
          <w:sz w:val="18"/>
          <w:szCs w:val="20"/>
        </w:rPr>
      </w:pPr>
      <w:r>
        <w:rPr>
          <w:rFonts w:ascii="Arial" w:hAnsi="Arial"/>
          <w:sz w:val="18"/>
          <w:szCs w:val="20"/>
        </w:rPr>
      </w:r>
    </w:p>
    <w:p>
      <w:pPr>
        <w:pStyle w:val="Standard"/>
        <w:jc w:val="both"/>
        <w:rPr>
          <w:rFonts w:ascii="Arial" w:hAnsi="Arial"/>
          <w:sz w:val="18"/>
          <w:szCs w:val="20"/>
        </w:rPr>
      </w:pPr>
      <w:r>
        <w:rPr>
          <w:rFonts w:ascii="Arial" w:hAnsi="Arial"/>
          <w:sz w:val="18"/>
          <w:szCs w:val="20"/>
        </w:rPr>
        <w:t>Il contesto giuridico all’interno del quale si muove il piano d’azione è il seguente.</w:t>
      </w:r>
    </w:p>
    <w:p>
      <w:pPr>
        <w:pStyle w:val="Standard"/>
        <w:jc w:val="both"/>
        <w:rPr>
          <w:rFonts w:ascii="Arial" w:hAnsi="Arial" w:eastAsia="Mangal"/>
          <w:i/>
          <w:i/>
          <w:iCs/>
          <w:sz w:val="18"/>
          <w:szCs w:val="20"/>
          <w:lang w:eastAsia="hi-IN"/>
        </w:rPr>
      </w:pPr>
      <w:r>
        <w:rPr>
          <w:rFonts w:eastAsia="Mangal" w:ascii="Arial" w:hAnsi="Arial"/>
          <w:i/>
          <w:iCs/>
          <w:sz w:val="18"/>
          <w:szCs w:val="20"/>
          <w:lang w:eastAsia="hi-IN"/>
        </w:rPr>
      </w:r>
    </w:p>
    <w:p>
      <w:pPr>
        <w:pStyle w:val="FigureTabelle"/>
        <w:rPr>
          <w:rFonts w:eastAsia="Mangal"/>
          <w:sz w:val="18"/>
          <w:lang w:eastAsia="hi-IN"/>
        </w:rPr>
      </w:pPr>
      <w:bookmarkStart w:id="10" w:name="_Toc171964379"/>
      <w:bookmarkStart w:id="11" w:name="_Ref171945613"/>
      <w:r>
        <w:rPr>
          <w:sz w:val="18"/>
        </w:rPr>
        <w:t xml:space="preserve">Tabella </w:t>
      </w:r>
      <w:r>
        <w:fldChar w:fldCharType="begin"/>
      </w:r>
      <w:r>
        <w:rPr>
          <w:sz w:val="18"/>
        </w:rPr>
        <w:instrText xml:space="preserve">STYLEREF 1 \s</w:instrText>
      </w:r>
      <w:r>
        <w:rPr>
          <w:sz w:val="18"/>
        </w:rPr>
      </w:r>
      <w:r>
        <w:rPr>
          <w:sz w:val="18"/>
        </w:rPr>
        <w:fldChar w:fldCharType="separate"/>
      </w:r>
      <w:r>
        <w:rPr>
          <w:sz w:val="18"/>
        </w:rPr>
        <w:t>4</w:t>
      </w:r>
      <w:r>
        <w:rPr>
          <w:sz w:val="18"/>
        </w:rPr>
      </w:r>
      <w:r>
        <w:rPr>
          <w:sz w:val="18"/>
        </w:rPr>
        <w:fldChar w:fldCharType="end"/>
      </w:r>
      <w:r>
        <w:rPr>
          <w:sz w:val="18"/>
        </w:rPr>
        <w:t>.</w:t>
      </w:r>
      <w:r>
        <w:rPr>
          <w:sz w:val="18"/>
        </w:rPr>
        <w:fldChar w:fldCharType="begin"/>
      </w:r>
      <w:r>
        <w:rPr>
          <w:sz w:val="18"/>
        </w:rPr>
        <w:instrText xml:space="preserve"> SEQ Tabella \* ARABIC </w:instrText>
      </w:r>
      <w:r>
        <w:rPr>
          <w:sz w:val="18"/>
        </w:rPr>
        <w:fldChar w:fldCharType="separate"/>
      </w:r>
      <w:r>
        <w:rPr>
          <w:sz w:val="18"/>
        </w:rPr>
        <w:t>1</w:t>
      </w:r>
      <w:r>
        <w:rPr>
          <w:sz w:val="18"/>
        </w:rPr>
        <w:fldChar w:fldCharType="end"/>
      </w:r>
      <w:bookmarkEnd w:id="11"/>
      <w:r>
        <w:rPr>
          <w:sz w:val="18"/>
        </w:rPr>
        <w:t xml:space="preserve"> - Tipologia di sorgente ed ambiti di competenza – Contesto giuridico</w:t>
      </w:r>
      <w:bookmarkEnd w:id="10"/>
    </w:p>
    <w:tbl>
      <w:tblPr>
        <w:tblW w:w="9354" w:type="dxa"/>
        <w:jc w:val="left"/>
        <w:tblInd w:w="0" w:type="dxa"/>
        <w:tblLayout w:type="fixed"/>
        <w:tblCellMar>
          <w:top w:w="0" w:type="dxa"/>
          <w:left w:w="2" w:type="dxa"/>
          <w:bottom w:w="0" w:type="dxa"/>
          <w:right w:w="0" w:type="dxa"/>
        </w:tblCellMar>
        <w:tblLook w:firstRow="1" w:noVBand="1" w:lastRow="0" w:firstColumn="1" w:lastColumn="0" w:noHBand="0" w:val="04a0"/>
      </w:tblPr>
      <w:tblGrid>
        <w:gridCol w:w="2278"/>
        <w:gridCol w:w="2738"/>
        <w:gridCol w:w="2164"/>
        <w:gridCol w:w="2173"/>
      </w:tblGrid>
      <w:tr>
        <w:trPr>
          <w:tblHeader w:val="true"/>
          <w:cantSplit w:val="true"/>
        </w:trPr>
        <w:tc>
          <w:tcPr>
            <w:tcW w:w="2278" w:type="dxa"/>
            <w:tcBorders>
              <w:top w:val="single" w:sz="2" w:space="0" w:color="000000"/>
              <w:left w:val="single" w:sz="2" w:space="0" w:color="000000"/>
              <w:bottom w:val="single" w:sz="4" w:space="0" w:color="000000"/>
            </w:tcBorders>
            <w:vAlign w:val="center"/>
          </w:tcPr>
          <w:p>
            <w:pPr>
              <w:pStyle w:val="Standard"/>
              <w:rPr>
                <w:rFonts w:ascii="Arial" w:hAnsi="Arial" w:cs="Arial"/>
                <w:b/>
                <w:bCs/>
                <w:sz w:val="16"/>
                <w:szCs w:val="18"/>
              </w:rPr>
            </w:pPr>
            <w:r>
              <w:rPr>
                <w:rFonts w:cs="Arial" w:ascii="Arial" w:hAnsi="Arial"/>
                <w:b/>
                <w:bCs/>
                <w:sz w:val="16"/>
                <w:szCs w:val="18"/>
              </w:rPr>
              <w:t>Attività</w:t>
            </w:r>
          </w:p>
        </w:tc>
        <w:tc>
          <w:tcPr>
            <w:tcW w:w="2738" w:type="dxa"/>
            <w:tcBorders>
              <w:top w:val="single" w:sz="2" w:space="0" w:color="000000"/>
              <w:left w:val="single" w:sz="2" w:space="0" w:color="000000"/>
              <w:bottom w:val="single" w:sz="4" w:space="0" w:color="000000"/>
            </w:tcBorders>
            <w:vAlign w:val="center"/>
          </w:tcPr>
          <w:p>
            <w:pPr>
              <w:pStyle w:val="Standard"/>
              <w:rPr>
                <w:rFonts w:ascii="Arial" w:hAnsi="Arial" w:eastAsia="Mangal" w:cs="Arial"/>
                <w:b/>
                <w:bCs/>
                <w:sz w:val="16"/>
                <w:szCs w:val="18"/>
                <w:lang w:eastAsia="hi-IN"/>
              </w:rPr>
            </w:pPr>
            <w:r>
              <w:rPr>
                <w:rFonts w:eastAsia="Mangal" w:cs="Arial" w:ascii="Arial" w:hAnsi="Arial"/>
                <w:b/>
                <w:bCs/>
                <w:sz w:val="16"/>
                <w:szCs w:val="18"/>
                <w:lang w:eastAsia="hi-IN"/>
              </w:rPr>
              <w:t>Ambito di competenza</w:t>
            </w:r>
          </w:p>
        </w:tc>
        <w:tc>
          <w:tcPr>
            <w:tcW w:w="2164" w:type="dxa"/>
            <w:tcBorders>
              <w:top w:val="single" w:sz="2" w:space="0" w:color="000000"/>
              <w:left w:val="single" w:sz="2" w:space="0" w:color="000000"/>
              <w:bottom w:val="single" w:sz="4" w:space="0" w:color="000000"/>
            </w:tcBorders>
            <w:vAlign w:val="center"/>
          </w:tcPr>
          <w:p>
            <w:pPr>
              <w:pStyle w:val="Standard"/>
              <w:rPr>
                <w:rFonts w:ascii="Arial" w:hAnsi="Arial" w:eastAsia="Mangal" w:cs="Arial"/>
                <w:b/>
                <w:bCs/>
                <w:sz w:val="16"/>
                <w:szCs w:val="18"/>
                <w:lang w:eastAsia="hi-IN"/>
              </w:rPr>
            </w:pPr>
            <w:r>
              <w:rPr>
                <w:rFonts w:eastAsia="Mangal" w:cs="Arial" w:ascii="Arial" w:hAnsi="Arial"/>
                <w:b/>
                <w:bCs/>
                <w:sz w:val="16"/>
                <w:szCs w:val="18"/>
                <w:lang w:eastAsia="hi-IN"/>
              </w:rPr>
              <w:t>Ente competente</w:t>
            </w:r>
          </w:p>
        </w:tc>
        <w:tc>
          <w:tcPr>
            <w:tcW w:w="2173" w:type="dxa"/>
            <w:tcBorders>
              <w:top w:val="single" w:sz="2" w:space="0" w:color="000000"/>
              <w:left w:val="single" w:sz="2" w:space="0" w:color="000000"/>
              <w:bottom w:val="single" w:sz="2" w:space="0" w:color="000000"/>
              <w:right w:val="single" w:sz="4" w:space="0" w:color="000000"/>
            </w:tcBorders>
            <w:vAlign w:val="center"/>
          </w:tcPr>
          <w:p>
            <w:pPr>
              <w:pStyle w:val="Standard"/>
              <w:rPr>
                <w:rFonts w:ascii="Arial" w:hAnsi="Arial" w:eastAsia="Mangal" w:cs="Arial"/>
                <w:b/>
                <w:bCs/>
                <w:sz w:val="16"/>
                <w:szCs w:val="18"/>
                <w:lang w:eastAsia="hi-IN"/>
              </w:rPr>
            </w:pPr>
            <w:r>
              <w:rPr>
                <w:rFonts w:eastAsia="Mangal" w:cs="Arial" w:ascii="Arial" w:hAnsi="Arial"/>
                <w:b/>
                <w:bCs/>
                <w:sz w:val="16"/>
                <w:szCs w:val="18"/>
                <w:lang w:eastAsia="hi-IN"/>
              </w:rPr>
              <w:t>Norma di riferimento</w:t>
            </w:r>
          </w:p>
        </w:tc>
      </w:tr>
      <w:tr>
        <w:trPr>
          <w:cantSplit w:val="true"/>
        </w:trPr>
        <w:tc>
          <w:tcPr>
            <w:tcW w:w="2278" w:type="dxa"/>
            <w:vMerge w:val="restart"/>
            <w:tcBorders>
              <w:top w:val="single" w:sz="2" w:space="0" w:color="000000"/>
              <w:left w:val="single" w:sz="2" w:space="0" w:color="000000"/>
              <w:bottom w:val="single" w:sz="4" w:space="0" w:color="000000"/>
            </w:tcBorders>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 xml:space="preserve">Risanamento acustico delle </w:t>
            </w:r>
            <w:r>
              <w:rPr>
                <w:rFonts w:eastAsia="Mangal" w:cs="Arial" w:ascii="Arial" w:hAnsi="Arial"/>
                <w:b/>
                <w:bCs/>
                <w:sz w:val="16"/>
                <w:szCs w:val="18"/>
                <w:u w:val="single"/>
                <w:lang w:eastAsia="hi-IN"/>
              </w:rPr>
              <w:t>infrastrutture stradali</w:t>
            </w:r>
          </w:p>
        </w:tc>
        <w:tc>
          <w:tcPr>
            <w:tcW w:w="2738" w:type="dxa"/>
            <w:tcBorders>
              <w:top w:val="single" w:sz="2" w:space="0" w:color="000000"/>
              <w:left w:val="single" w:sz="2" w:space="0" w:color="000000"/>
              <w:bottom w:val="single" w:sz="4" w:space="0" w:color="000000"/>
            </w:tcBorders>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Strade provinciali ricadenti nell’Agglomerato di Cagliari</w:t>
            </w:r>
          </w:p>
        </w:tc>
        <w:tc>
          <w:tcPr>
            <w:tcW w:w="2164" w:type="dxa"/>
            <w:tcBorders>
              <w:top w:val="single" w:sz="2" w:space="0" w:color="000000"/>
              <w:left w:val="single" w:sz="2" w:space="0" w:color="000000"/>
              <w:bottom w:val="single" w:sz="4" w:space="0" w:color="000000"/>
            </w:tcBorders>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Città Metropolitana di Cagliari</w:t>
            </w:r>
          </w:p>
        </w:tc>
        <w:tc>
          <w:tcPr>
            <w:tcW w:w="2173" w:type="dxa"/>
            <w:tcBorders>
              <w:top w:val="single" w:sz="2" w:space="0" w:color="000000"/>
              <w:left w:val="single" w:sz="2" w:space="0" w:color="000000"/>
              <w:bottom w:val="single" w:sz="2" w:space="0" w:color="000000"/>
              <w:right w:val="single" w:sz="4" w:space="0" w:color="000000"/>
            </w:tcBorders>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D.M. 29/11/2000</w:t>
            </w:r>
          </w:p>
          <w:p>
            <w:pPr>
              <w:pStyle w:val="Standard"/>
              <w:rPr>
                <w:rFonts w:ascii="Arial" w:hAnsi="Arial" w:eastAsia="Mangal" w:cs="Arial"/>
                <w:sz w:val="16"/>
                <w:szCs w:val="18"/>
                <w:lang w:eastAsia="hi-IN"/>
              </w:rPr>
            </w:pPr>
            <w:r>
              <w:rPr>
                <w:rFonts w:eastAsia="Mangal" w:cs="Arial" w:ascii="Arial" w:hAnsi="Arial"/>
                <w:sz w:val="16"/>
                <w:szCs w:val="18"/>
                <w:lang w:eastAsia="hi-IN"/>
              </w:rPr>
              <w:t>D.P.R. 142/2004</w:t>
            </w:r>
          </w:p>
        </w:tc>
      </w:tr>
      <w:tr>
        <w:trPr>
          <w:cantSplit w:val="true"/>
        </w:trPr>
        <w:tc>
          <w:tcPr>
            <w:tcW w:w="2278" w:type="dxa"/>
            <w:vMerge w:val="continue"/>
            <w:tcBorders>
              <w:top w:val="single" w:sz="2" w:space="0" w:color="000000"/>
              <w:left w:val="single" w:sz="2" w:space="0" w:color="000000"/>
              <w:bottom w:val="single" w:sz="4" w:space="0" w:color="000000"/>
            </w:tcBorders>
            <w:vAlign w:val="center"/>
          </w:tcPr>
          <w:p>
            <w:pPr>
              <w:pStyle w:val="Normal"/>
              <w:rPr>
                <w:rFonts w:ascii="Arial" w:hAnsi="Arial" w:cs="Arial"/>
                <w:sz w:val="16"/>
                <w:szCs w:val="18"/>
              </w:rPr>
            </w:pPr>
            <w:r>
              <w:rPr>
                <w:rFonts w:cs="Arial" w:ascii="Arial" w:hAnsi="Arial"/>
                <w:sz w:val="16"/>
                <w:szCs w:val="18"/>
              </w:rPr>
            </w:r>
          </w:p>
        </w:tc>
        <w:tc>
          <w:tcPr>
            <w:tcW w:w="2738" w:type="dxa"/>
            <w:tcBorders>
              <w:top w:val="single" w:sz="2" w:space="0" w:color="000000"/>
              <w:left w:val="single" w:sz="2" w:space="0" w:color="000000"/>
              <w:bottom w:val="single" w:sz="4" w:space="0" w:color="000000"/>
            </w:tcBorders>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Strade comunali ricadenti nell’Agglomerato di Cagliari</w:t>
            </w:r>
          </w:p>
        </w:tc>
        <w:tc>
          <w:tcPr>
            <w:tcW w:w="2164" w:type="dxa"/>
            <w:tcBorders>
              <w:top w:val="single" w:sz="2" w:space="0" w:color="000000"/>
              <w:left w:val="single" w:sz="2" w:space="0" w:color="000000"/>
              <w:bottom w:val="single" w:sz="4" w:space="0" w:color="000000"/>
            </w:tcBorders>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Comuni di Assemini, Cagliari, Elmas, Maracalagonis, Monserrato,Quartu S.Elena, Quartucciu, Selargius, Sestu, Settimo S.Pietro</w:t>
            </w:r>
          </w:p>
        </w:tc>
        <w:tc>
          <w:tcPr>
            <w:tcW w:w="2173" w:type="dxa"/>
            <w:tcBorders>
              <w:top w:val="single" w:sz="2" w:space="0" w:color="000000"/>
              <w:left w:val="single" w:sz="2" w:space="0" w:color="000000"/>
              <w:bottom w:val="single" w:sz="2" w:space="0" w:color="000000"/>
              <w:right w:val="single" w:sz="4" w:space="0" w:color="000000"/>
            </w:tcBorders>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D.M. 29/11/2000</w:t>
            </w:r>
          </w:p>
          <w:p>
            <w:pPr>
              <w:pStyle w:val="Standard"/>
              <w:rPr>
                <w:rFonts w:ascii="Arial" w:hAnsi="Arial" w:eastAsia="Mangal" w:cs="Arial"/>
                <w:sz w:val="16"/>
                <w:szCs w:val="18"/>
                <w:lang w:eastAsia="hi-IN"/>
              </w:rPr>
            </w:pPr>
            <w:r>
              <w:rPr>
                <w:rFonts w:eastAsia="Mangal" w:cs="Arial" w:ascii="Arial" w:hAnsi="Arial"/>
                <w:sz w:val="16"/>
                <w:szCs w:val="18"/>
                <w:lang w:eastAsia="hi-IN"/>
              </w:rPr>
              <w:t>D.P.R. 142/2004</w:t>
            </w:r>
          </w:p>
        </w:tc>
      </w:tr>
      <w:tr>
        <w:trPr>
          <w:cantSplit w:val="true"/>
        </w:trPr>
        <w:tc>
          <w:tcPr>
            <w:tcW w:w="2278" w:type="dxa"/>
            <w:vMerge w:val="continue"/>
            <w:tcBorders>
              <w:top w:val="single" w:sz="2" w:space="0" w:color="000000"/>
              <w:left w:val="single" w:sz="2" w:space="0" w:color="000000"/>
              <w:bottom w:val="single" w:sz="4" w:space="0" w:color="000000"/>
            </w:tcBorders>
            <w:vAlign w:val="center"/>
          </w:tcPr>
          <w:p>
            <w:pPr>
              <w:pStyle w:val="Normal"/>
              <w:rPr>
                <w:rFonts w:ascii="Arial" w:hAnsi="Arial" w:cs="Arial"/>
                <w:sz w:val="16"/>
                <w:szCs w:val="18"/>
              </w:rPr>
            </w:pPr>
            <w:r>
              <w:rPr>
                <w:rFonts w:cs="Arial" w:ascii="Arial" w:hAnsi="Arial"/>
                <w:sz w:val="16"/>
                <w:szCs w:val="18"/>
              </w:rPr>
            </w:r>
          </w:p>
        </w:tc>
        <w:tc>
          <w:tcPr>
            <w:tcW w:w="2738" w:type="dxa"/>
            <w:tcBorders>
              <w:top w:val="single" w:sz="2" w:space="0" w:color="000000"/>
              <w:left w:val="single" w:sz="2" w:space="0" w:color="000000"/>
              <w:bottom w:val="single" w:sz="4" w:space="0" w:color="000000"/>
            </w:tcBorders>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Trasporto Pubblico Locale su strada (TPL), nell’ambito dell’Agglomerato di Cagliari</w:t>
            </w:r>
          </w:p>
        </w:tc>
        <w:tc>
          <w:tcPr>
            <w:tcW w:w="2164" w:type="dxa"/>
            <w:tcBorders>
              <w:top w:val="single" w:sz="2" w:space="0" w:color="000000"/>
              <w:left w:val="single" w:sz="2" w:space="0" w:color="000000"/>
              <w:bottom w:val="single" w:sz="4" w:space="0" w:color="000000"/>
            </w:tcBorders>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CTM</w:t>
            </w:r>
          </w:p>
          <w:p>
            <w:pPr>
              <w:pStyle w:val="Standard"/>
              <w:rPr>
                <w:rFonts w:ascii="Arial" w:hAnsi="Arial" w:eastAsia="Mangal" w:cs="Arial"/>
                <w:sz w:val="16"/>
                <w:szCs w:val="18"/>
                <w:lang w:eastAsia="hi-IN"/>
              </w:rPr>
            </w:pPr>
            <w:r>
              <w:rPr>
                <w:rFonts w:eastAsia="Mangal" w:cs="Arial" w:ascii="Arial" w:hAnsi="Arial"/>
                <w:sz w:val="16"/>
                <w:szCs w:val="18"/>
                <w:lang w:eastAsia="hi-IN"/>
              </w:rPr>
              <w:t>ARST</w:t>
            </w:r>
          </w:p>
          <w:p>
            <w:pPr>
              <w:pStyle w:val="Standard"/>
              <w:rPr>
                <w:rFonts w:ascii="Arial" w:hAnsi="Arial" w:eastAsia="Mangal" w:cs="Arial"/>
                <w:sz w:val="16"/>
                <w:szCs w:val="18"/>
                <w:lang w:eastAsia="hi-IN"/>
              </w:rPr>
            </w:pPr>
            <w:r>
              <w:rPr>
                <w:rFonts w:eastAsia="Mangal" w:cs="Arial" w:ascii="Arial" w:hAnsi="Arial"/>
                <w:sz w:val="16"/>
                <w:szCs w:val="18"/>
                <w:lang w:eastAsia="hi-IN"/>
              </w:rPr>
              <w:t>(Enti gestori di servizio di trasporto pubblico locale)</w:t>
            </w:r>
          </w:p>
        </w:tc>
        <w:tc>
          <w:tcPr>
            <w:tcW w:w="2173" w:type="dxa"/>
            <w:tcBorders>
              <w:top w:val="single" w:sz="2" w:space="0" w:color="000000"/>
              <w:left w:val="single" w:sz="2" w:space="0" w:color="000000"/>
              <w:bottom w:val="single" w:sz="2" w:space="0" w:color="000000"/>
              <w:right w:val="single" w:sz="4" w:space="0" w:color="000000"/>
            </w:tcBorders>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D.M. 29/11/2000</w:t>
            </w:r>
          </w:p>
          <w:p>
            <w:pPr>
              <w:pStyle w:val="Standard"/>
              <w:rPr>
                <w:rFonts w:ascii="Arial" w:hAnsi="Arial" w:eastAsia="Mangal" w:cs="Arial"/>
                <w:sz w:val="16"/>
                <w:szCs w:val="18"/>
                <w:lang w:eastAsia="hi-IN"/>
              </w:rPr>
            </w:pPr>
            <w:r>
              <w:rPr>
                <w:rFonts w:eastAsia="Mangal" w:cs="Arial" w:ascii="Arial" w:hAnsi="Arial"/>
                <w:sz w:val="16"/>
                <w:szCs w:val="18"/>
                <w:lang w:eastAsia="hi-IN"/>
              </w:rPr>
              <w:t>D.P.R. 142/2004</w:t>
            </w:r>
          </w:p>
        </w:tc>
      </w:tr>
      <w:tr>
        <w:trPr>
          <w:cantSplit w:val="true"/>
        </w:trPr>
        <w:tc>
          <w:tcPr>
            <w:tcW w:w="2278" w:type="dxa"/>
            <w:vMerge w:val="continue"/>
            <w:tcBorders>
              <w:top w:val="single" w:sz="2" w:space="0" w:color="000000"/>
              <w:left w:val="single" w:sz="2" w:space="0" w:color="000000"/>
              <w:bottom w:val="single" w:sz="4" w:space="0" w:color="000000"/>
            </w:tcBorders>
            <w:vAlign w:val="center"/>
          </w:tcPr>
          <w:p>
            <w:pPr>
              <w:pStyle w:val="Normal"/>
              <w:rPr>
                <w:rFonts w:ascii="Arial" w:hAnsi="Arial" w:cs="Arial"/>
                <w:sz w:val="16"/>
                <w:szCs w:val="18"/>
              </w:rPr>
            </w:pPr>
            <w:r>
              <w:rPr>
                <w:rFonts w:cs="Arial" w:ascii="Arial" w:hAnsi="Arial"/>
                <w:sz w:val="16"/>
                <w:szCs w:val="18"/>
              </w:rPr>
            </w:r>
          </w:p>
        </w:tc>
        <w:tc>
          <w:tcPr>
            <w:tcW w:w="2738" w:type="dxa"/>
            <w:tcBorders>
              <w:top w:val="single" w:sz="2" w:space="0" w:color="000000"/>
              <w:left w:val="single" w:sz="2" w:space="0" w:color="000000"/>
              <w:bottom w:val="single" w:sz="4" w:space="0" w:color="000000"/>
            </w:tcBorders>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Strade statali ricadenti nell’Agglomerato di Cagliari</w:t>
            </w:r>
          </w:p>
        </w:tc>
        <w:tc>
          <w:tcPr>
            <w:tcW w:w="2164" w:type="dxa"/>
            <w:tcBorders>
              <w:top w:val="single" w:sz="2" w:space="0" w:color="000000"/>
              <w:left w:val="single" w:sz="2" w:space="0" w:color="000000"/>
              <w:bottom w:val="single" w:sz="4" w:space="0" w:color="000000"/>
            </w:tcBorders>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ANAS</w:t>
            </w:r>
          </w:p>
        </w:tc>
        <w:tc>
          <w:tcPr>
            <w:tcW w:w="2173" w:type="dxa"/>
            <w:tcBorders>
              <w:top w:val="single" w:sz="2" w:space="0" w:color="000000"/>
              <w:left w:val="single" w:sz="2" w:space="0" w:color="000000"/>
              <w:bottom w:val="single" w:sz="2" w:space="0" w:color="000000"/>
              <w:right w:val="single" w:sz="4" w:space="0" w:color="000000"/>
            </w:tcBorders>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D.M. 29/11/2000</w:t>
            </w:r>
          </w:p>
          <w:p>
            <w:pPr>
              <w:pStyle w:val="Standard"/>
              <w:rPr>
                <w:rFonts w:ascii="Arial" w:hAnsi="Arial" w:eastAsia="Mangal" w:cs="Arial"/>
                <w:sz w:val="16"/>
                <w:szCs w:val="18"/>
                <w:lang w:eastAsia="hi-IN"/>
              </w:rPr>
            </w:pPr>
            <w:r>
              <w:rPr>
                <w:rFonts w:eastAsia="Mangal" w:cs="Arial" w:ascii="Arial" w:hAnsi="Arial"/>
                <w:sz w:val="16"/>
                <w:szCs w:val="18"/>
                <w:lang w:eastAsia="hi-IN"/>
              </w:rPr>
              <w:t>D.P.R. 142/2004</w:t>
            </w:r>
          </w:p>
        </w:tc>
      </w:tr>
      <w:tr>
        <w:trPr>
          <w:cantSplit w:val="true"/>
        </w:trPr>
        <w:tc>
          <w:tcPr>
            <w:tcW w:w="2278" w:type="dxa"/>
            <w:vMerge w:val="continue"/>
            <w:tcBorders>
              <w:top w:val="single" w:sz="2" w:space="0" w:color="000000"/>
              <w:left w:val="single" w:sz="2" w:space="0" w:color="000000"/>
              <w:bottom w:val="single" w:sz="4" w:space="0" w:color="000000"/>
            </w:tcBorders>
            <w:vAlign w:val="center"/>
          </w:tcPr>
          <w:p>
            <w:pPr>
              <w:pStyle w:val="Normal"/>
              <w:rPr>
                <w:rFonts w:ascii="Arial" w:hAnsi="Arial" w:cs="Arial"/>
                <w:sz w:val="16"/>
                <w:szCs w:val="18"/>
              </w:rPr>
            </w:pPr>
            <w:r>
              <w:rPr>
                <w:rFonts w:cs="Arial" w:ascii="Arial" w:hAnsi="Arial"/>
                <w:sz w:val="16"/>
                <w:szCs w:val="18"/>
              </w:rPr>
            </w:r>
          </w:p>
        </w:tc>
        <w:tc>
          <w:tcPr>
            <w:tcW w:w="2738" w:type="dxa"/>
            <w:tcBorders>
              <w:top w:val="single" w:sz="2" w:space="0" w:color="000000"/>
              <w:left w:val="single" w:sz="2" w:space="0" w:color="000000"/>
              <w:bottom w:val="single" w:sz="4" w:space="0" w:color="000000"/>
            </w:tcBorders>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Autostrade</w:t>
            </w:r>
          </w:p>
        </w:tc>
        <w:tc>
          <w:tcPr>
            <w:tcW w:w="2164" w:type="dxa"/>
            <w:tcBorders>
              <w:top w:val="single" w:sz="2" w:space="0" w:color="000000"/>
              <w:left w:val="single" w:sz="2" w:space="0" w:color="000000"/>
              <w:bottom w:val="single" w:sz="4" w:space="0" w:color="000000"/>
            </w:tcBorders>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Non presenti</w:t>
            </w:r>
          </w:p>
        </w:tc>
        <w:tc>
          <w:tcPr>
            <w:tcW w:w="2173" w:type="dxa"/>
            <w:tcBorders>
              <w:top w:val="single" w:sz="2" w:space="0" w:color="000000"/>
              <w:left w:val="single" w:sz="2" w:space="0" w:color="000000"/>
              <w:bottom w:val="single" w:sz="2" w:space="0" w:color="000000"/>
              <w:right w:val="single" w:sz="4" w:space="0" w:color="000000"/>
            </w:tcBorders>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D.M. 29/11/2000</w:t>
            </w:r>
          </w:p>
          <w:p>
            <w:pPr>
              <w:pStyle w:val="Standard"/>
              <w:rPr>
                <w:rFonts w:ascii="Arial" w:hAnsi="Arial" w:eastAsia="Mangal" w:cs="Arial"/>
                <w:sz w:val="16"/>
                <w:szCs w:val="18"/>
                <w:lang w:eastAsia="hi-IN"/>
              </w:rPr>
            </w:pPr>
            <w:r>
              <w:rPr>
                <w:rFonts w:eastAsia="Mangal" w:cs="Arial" w:ascii="Arial" w:hAnsi="Arial"/>
                <w:sz w:val="16"/>
                <w:szCs w:val="18"/>
                <w:lang w:eastAsia="hi-IN"/>
              </w:rPr>
              <w:t>D.P.R. 142/2004</w:t>
            </w:r>
          </w:p>
        </w:tc>
      </w:tr>
      <w:tr>
        <w:trPr>
          <w:cantSplit w:val="true"/>
        </w:trPr>
        <w:tc>
          <w:tcPr>
            <w:tcW w:w="2278" w:type="dxa"/>
            <w:tcBorders>
              <w:top w:val="single" w:sz="2" w:space="0" w:color="000000"/>
              <w:left w:val="single" w:sz="2" w:space="0" w:color="000000"/>
              <w:bottom w:val="single" w:sz="4" w:space="0" w:color="000000"/>
            </w:tcBorders>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 xml:space="preserve">Risanamento acustico delle </w:t>
            </w:r>
            <w:r>
              <w:rPr>
                <w:rFonts w:eastAsia="Mangal" w:cs="Arial" w:ascii="Arial" w:hAnsi="Arial"/>
                <w:b/>
                <w:bCs/>
                <w:sz w:val="16"/>
                <w:szCs w:val="18"/>
                <w:u w:val="single"/>
                <w:lang w:eastAsia="hi-IN"/>
              </w:rPr>
              <w:t>infrastrutture ferroviarie</w:t>
            </w:r>
          </w:p>
        </w:tc>
        <w:tc>
          <w:tcPr>
            <w:tcW w:w="2738" w:type="dxa"/>
            <w:tcBorders>
              <w:top w:val="single" w:sz="2" w:space="0" w:color="000000"/>
              <w:left w:val="single" w:sz="2" w:space="0" w:color="000000"/>
              <w:bottom w:val="single" w:sz="4" w:space="0" w:color="000000"/>
            </w:tcBorders>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Ferrovie ricadenti nell’Agglomerato di Cagliari</w:t>
            </w:r>
          </w:p>
        </w:tc>
        <w:tc>
          <w:tcPr>
            <w:tcW w:w="2164" w:type="dxa"/>
            <w:tcBorders>
              <w:top w:val="single" w:sz="2" w:space="0" w:color="000000"/>
              <w:left w:val="single" w:sz="2" w:space="0" w:color="000000"/>
              <w:bottom w:val="single" w:sz="4" w:space="0" w:color="000000"/>
            </w:tcBorders>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RFI</w:t>
            </w:r>
          </w:p>
        </w:tc>
        <w:tc>
          <w:tcPr>
            <w:tcW w:w="2173" w:type="dxa"/>
            <w:tcBorders>
              <w:top w:val="single" w:sz="2" w:space="0" w:color="000000"/>
              <w:left w:val="single" w:sz="2" w:space="0" w:color="000000"/>
              <w:bottom w:val="single" w:sz="2" w:space="0" w:color="000000"/>
              <w:right w:val="single" w:sz="4" w:space="0" w:color="000000"/>
            </w:tcBorders>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D.M. 29/11/2000</w:t>
            </w:r>
          </w:p>
          <w:p>
            <w:pPr>
              <w:pStyle w:val="Standard"/>
              <w:rPr>
                <w:rFonts w:ascii="Arial" w:hAnsi="Arial" w:eastAsia="Mangal" w:cs="Arial"/>
                <w:sz w:val="16"/>
                <w:szCs w:val="18"/>
                <w:lang w:eastAsia="hi-IN"/>
              </w:rPr>
            </w:pPr>
            <w:r>
              <w:rPr>
                <w:rFonts w:eastAsia="Mangal" w:cs="Arial" w:ascii="Arial" w:hAnsi="Arial"/>
                <w:sz w:val="16"/>
                <w:szCs w:val="18"/>
                <w:lang w:eastAsia="hi-IN"/>
              </w:rPr>
              <w:t>D.P.R. 459/98</w:t>
            </w:r>
          </w:p>
        </w:tc>
      </w:tr>
      <w:tr>
        <w:trPr>
          <w:cantSplit w:val="true"/>
        </w:trPr>
        <w:tc>
          <w:tcPr>
            <w:tcW w:w="2278" w:type="dxa"/>
            <w:tcBorders>
              <w:top w:val="single" w:sz="2" w:space="0" w:color="000000"/>
              <w:left w:val="single" w:sz="2" w:space="0" w:color="000000"/>
              <w:bottom w:val="single" w:sz="4" w:space="0" w:color="000000"/>
            </w:tcBorders>
            <w:tcMar>
              <w:top w:w="57" w:type="dxa"/>
              <w:left w:w="57" w:type="dxa"/>
              <w:bottom w:w="57" w:type="dxa"/>
              <w:right w:w="57" w:type="dxa"/>
            </w:tcMar>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 xml:space="preserve">Risanamento acustico delle </w:t>
            </w:r>
            <w:r>
              <w:rPr>
                <w:rFonts w:eastAsia="Mangal" w:cs="Arial" w:ascii="Arial" w:hAnsi="Arial"/>
                <w:b/>
                <w:bCs/>
                <w:sz w:val="16"/>
                <w:szCs w:val="18"/>
                <w:u w:val="single"/>
                <w:lang w:eastAsia="hi-IN"/>
              </w:rPr>
              <w:t>infrastrutture aeroportuali</w:t>
            </w:r>
          </w:p>
        </w:tc>
        <w:tc>
          <w:tcPr>
            <w:tcW w:w="2738" w:type="dxa"/>
            <w:tcBorders>
              <w:top w:val="single" w:sz="2" w:space="0" w:color="000000"/>
              <w:left w:val="single" w:sz="2" w:space="0" w:color="000000"/>
              <w:bottom w:val="single" w:sz="4" w:space="0" w:color="000000"/>
            </w:tcBorders>
            <w:tcMar>
              <w:top w:w="57" w:type="dxa"/>
              <w:left w:w="57" w:type="dxa"/>
              <w:bottom w:w="57" w:type="dxa"/>
              <w:right w:w="57" w:type="dxa"/>
            </w:tcMar>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Aeroporti ubicati nell’Agglomerato di Cagliari</w:t>
            </w:r>
          </w:p>
        </w:tc>
        <w:tc>
          <w:tcPr>
            <w:tcW w:w="2164" w:type="dxa"/>
            <w:tcBorders>
              <w:top w:val="single" w:sz="2" w:space="0" w:color="000000"/>
              <w:left w:val="single" w:sz="2" w:space="0" w:color="000000"/>
              <w:bottom w:val="single" w:sz="4" w:space="0" w:color="000000"/>
            </w:tcBorders>
            <w:tcMar>
              <w:top w:w="57" w:type="dxa"/>
              <w:left w:w="57" w:type="dxa"/>
              <w:bottom w:w="57" w:type="dxa"/>
              <w:right w:w="57" w:type="dxa"/>
            </w:tcMar>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SOGAER</w:t>
            </w:r>
          </w:p>
        </w:tc>
        <w:tc>
          <w:tcPr>
            <w:tcW w:w="2173" w:type="dxa"/>
            <w:tcBorders>
              <w:top w:val="single" w:sz="2" w:space="0" w:color="000000"/>
              <w:left w:val="single" w:sz="2" w:space="0" w:color="000000"/>
              <w:bottom w:val="single" w:sz="2" w:space="0" w:color="000000"/>
              <w:right w:val="single" w:sz="4" w:space="0" w:color="000000"/>
            </w:tcBorders>
            <w:tcMar>
              <w:top w:w="57" w:type="dxa"/>
              <w:left w:w="57" w:type="dxa"/>
              <w:bottom w:w="57" w:type="dxa"/>
              <w:right w:w="57" w:type="dxa"/>
            </w:tcMar>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D.M. 31/10/97</w:t>
            </w:r>
          </w:p>
          <w:p>
            <w:pPr>
              <w:pStyle w:val="Standard"/>
              <w:rPr>
                <w:rFonts w:ascii="Arial" w:hAnsi="Arial" w:eastAsia="Mangal" w:cs="Arial"/>
                <w:sz w:val="16"/>
                <w:szCs w:val="18"/>
                <w:lang w:eastAsia="hi-IN"/>
              </w:rPr>
            </w:pPr>
            <w:r>
              <w:rPr>
                <w:rFonts w:eastAsia="Mangal" w:cs="Arial" w:ascii="Arial" w:hAnsi="Arial"/>
                <w:sz w:val="16"/>
                <w:szCs w:val="18"/>
                <w:lang w:eastAsia="hi-IN"/>
              </w:rPr>
              <w:t>D.M. 496/97</w:t>
            </w:r>
          </w:p>
          <w:p>
            <w:pPr>
              <w:pStyle w:val="Standard"/>
              <w:rPr>
                <w:rFonts w:ascii="Arial" w:hAnsi="Arial" w:eastAsia="Mangal" w:cs="Arial"/>
                <w:sz w:val="16"/>
                <w:szCs w:val="18"/>
                <w:lang w:eastAsia="hi-IN"/>
              </w:rPr>
            </w:pPr>
            <w:r>
              <w:rPr>
                <w:rFonts w:eastAsia="Mangal" w:cs="Arial" w:ascii="Arial" w:hAnsi="Arial"/>
                <w:sz w:val="16"/>
                <w:szCs w:val="18"/>
                <w:lang w:eastAsia="hi-IN"/>
              </w:rPr>
              <w:t>D.M. 20/5/1999</w:t>
            </w:r>
          </w:p>
          <w:p>
            <w:pPr>
              <w:pStyle w:val="Standard"/>
              <w:rPr>
                <w:rFonts w:ascii="Arial" w:hAnsi="Arial" w:eastAsia="Mangal" w:cs="Arial"/>
                <w:sz w:val="16"/>
                <w:szCs w:val="18"/>
                <w:lang w:eastAsia="hi-IN"/>
              </w:rPr>
            </w:pPr>
            <w:r>
              <w:rPr>
                <w:rFonts w:eastAsia="Mangal" w:cs="Arial" w:ascii="Arial" w:hAnsi="Arial"/>
                <w:sz w:val="16"/>
                <w:szCs w:val="18"/>
                <w:lang w:eastAsia="hi-IN"/>
              </w:rPr>
              <w:t>D.P.R. 476/99</w:t>
            </w:r>
          </w:p>
          <w:p>
            <w:pPr>
              <w:pStyle w:val="Standard"/>
              <w:rPr>
                <w:rFonts w:ascii="Arial" w:hAnsi="Arial" w:eastAsia="Mangal" w:cs="Arial"/>
                <w:sz w:val="16"/>
                <w:szCs w:val="18"/>
                <w:lang w:eastAsia="hi-IN"/>
              </w:rPr>
            </w:pPr>
            <w:r>
              <w:rPr>
                <w:rFonts w:eastAsia="Mangal" w:cs="Arial" w:ascii="Arial" w:hAnsi="Arial"/>
                <w:sz w:val="16"/>
                <w:szCs w:val="18"/>
                <w:lang w:eastAsia="hi-IN"/>
              </w:rPr>
              <w:t>D.M. 3/12/1999</w:t>
            </w:r>
          </w:p>
          <w:p>
            <w:pPr>
              <w:pStyle w:val="Standard"/>
              <w:rPr>
                <w:rFonts w:ascii="Arial" w:hAnsi="Arial" w:eastAsia="Mangal" w:cs="Arial"/>
                <w:sz w:val="16"/>
                <w:szCs w:val="18"/>
                <w:lang w:eastAsia="hi-IN"/>
              </w:rPr>
            </w:pPr>
            <w:r>
              <w:rPr>
                <w:rFonts w:eastAsia="Mangal" w:cs="Arial" w:ascii="Arial" w:hAnsi="Arial"/>
                <w:sz w:val="16"/>
                <w:szCs w:val="18"/>
                <w:lang w:eastAsia="hi-IN"/>
              </w:rPr>
              <w:t>D.Lgs. 13/2005</w:t>
            </w:r>
          </w:p>
        </w:tc>
      </w:tr>
      <w:tr>
        <w:trPr>
          <w:cantSplit w:val="true"/>
        </w:trPr>
        <w:tc>
          <w:tcPr>
            <w:tcW w:w="2278" w:type="dxa"/>
            <w:tcBorders>
              <w:top w:val="single" w:sz="2" w:space="0" w:color="000000"/>
              <w:left w:val="single" w:sz="2" w:space="0" w:color="000000"/>
              <w:bottom w:val="single" w:sz="4" w:space="0" w:color="000000"/>
            </w:tcBorders>
            <w:tcMar>
              <w:top w:w="57" w:type="dxa"/>
              <w:left w:w="57" w:type="dxa"/>
              <w:bottom w:w="57" w:type="dxa"/>
              <w:right w:w="57" w:type="dxa"/>
            </w:tcMar>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 xml:space="preserve">Risanamento acustico delle </w:t>
            </w:r>
            <w:r>
              <w:rPr>
                <w:rFonts w:eastAsia="Mangal" w:cs="Arial" w:ascii="Arial" w:hAnsi="Arial"/>
                <w:b/>
                <w:bCs/>
                <w:sz w:val="16"/>
                <w:szCs w:val="18"/>
                <w:u w:val="single"/>
                <w:lang w:eastAsia="hi-IN"/>
              </w:rPr>
              <w:t>infrastrutture portuali</w:t>
            </w:r>
          </w:p>
        </w:tc>
        <w:tc>
          <w:tcPr>
            <w:tcW w:w="2738" w:type="dxa"/>
            <w:tcBorders>
              <w:top w:val="single" w:sz="2" w:space="0" w:color="000000"/>
              <w:left w:val="single" w:sz="2" w:space="0" w:color="000000"/>
              <w:bottom w:val="single" w:sz="4" w:space="0" w:color="000000"/>
            </w:tcBorders>
            <w:tcMar>
              <w:top w:w="57" w:type="dxa"/>
              <w:left w:w="57" w:type="dxa"/>
              <w:bottom w:w="57" w:type="dxa"/>
              <w:right w:w="57" w:type="dxa"/>
            </w:tcMar>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Porti ubicati nell’Agglomerato di Cagliari</w:t>
            </w:r>
          </w:p>
        </w:tc>
        <w:tc>
          <w:tcPr>
            <w:tcW w:w="2164" w:type="dxa"/>
            <w:tcBorders>
              <w:top w:val="single" w:sz="2" w:space="0" w:color="000000"/>
              <w:left w:val="single" w:sz="2" w:space="0" w:color="000000"/>
              <w:bottom w:val="single" w:sz="4" w:space="0" w:color="000000"/>
            </w:tcBorders>
            <w:tcMar>
              <w:top w:w="57" w:type="dxa"/>
              <w:left w:w="57" w:type="dxa"/>
              <w:bottom w:w="57" w:type="dxa"/>
              <w:right w:w="57" w:type="dxa"/>
            </w:tcMar>
            <w:vAlign w:val="center"/>
          </w:tcPr>
          <w:p>
            <w:pPr>
              <w:pStyle w:val="Standard"/>
              <w:rPr>
                <w:rFonts w:ascii="Arial" w:hAnsi="Arial" w:eastAsia="Mangal" w:cs="Arial"/>
                <w:color w:val="000000"/>
                <w:sz w:val="16"/>
                <w:szCs w:val="18"/>
                <w:lang w:eastAsia="hi-IN"/>
              </w:rPr>
            </w:pPr>
            <w:r>
              <w:rPr>
                <w:rFonts w:eastAsia="Mangal" w:cs="Arial" w:ascii="Arial" w:hAnsi="Arial"/>
                <w:color w:val="000000"/>
                <w:sz w:val="16"/>
                <w:szCs w:val="18"/>
                <w:lang w:eastAsia="hi-IN"/>
              </w:rPr>
              <w:t>Autorità di Sistema Portuale del Mare di Sardegna</w:t>
            </w:r>
          </w:p>
        </w:tc>
        <w:tc>
          <w:tcPr>
            <w:tcW w:w="2173" w:type="dxa"/>
            <w:tcBorders>
              <w:top w:val="single" w:sz="2" w:space="0" w:color="000000"/>
              <w:left w:val="single" w:sz="2" w:space="0" w:color="000000"/>
              <w:bottom w:val="single" w:sz="2" w:space="0" w:color="000000"/>
              <w:right w:val="single" w:sz="4" w:space="0" w:color="000000"/>
            </w:tcBorders>
            <w:tcMar>
              <w:top w:w="57" w:type="dxa"/>
              <w:left w:w="57" w:type="dxa"/>
              <w:bottom w:w="57" w:type="dxa"/>
              <w:right w:w="57" w:type="dxa"/>
            </w:tcMar>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L.q. 447/1995</w:t>
            </w:r>
          </w:p>
          <w:p>
            <w:pPr>
              <w:pStyle w:val="Standard"/>
              <w:rPr>
                <w:rFonts w:ascii="Arial" w:hAnsi="Arial" w:eastAsia="Mangal" w:cs="Arial"/>
                <w:sz w:val="16"/>
                <w:szCs w:val="18"/>
                <w:lang w:eastAsia="hi-IN"/>
              </w:rPr>
            </w:pPr>
            <w:r>
              <w:rPr>
                <w:rFonts w:eastAsia="Mangal" w:cs="Arial" w:ascii="Arial" w:hAnsi="Arial"/>
                <w:sz w:val="16"/>
                <w:szCs w:val="18"/>
                <w:lang w:eastAsia="hi-IN"/>
              </w:rPr>
              <w:t>D.G.R. 62/9 del 14/11/2008 (RAS)</w:t>
            </w:r>
          </w:p>
        </w:tc>
      </w:tr>
      <w:tr>
        <w:trPr>
          <w:cantSplit w:val="true"/>
        </w:trPr>
        <w:tc>
          <w:tcPr>
            <w:tcW w:w="2278" w:type="dxa"/>
            <w:tcBorders>
              <w:top w:val="single" w:sz="2" w:space="0" w:color="000000"/>
              <w:left w:val="single" w:sz="2" w:space="0" w:color="000000"/>
              <w:bottom w:val="single" w:sz="4" w:space="0" w:color="000000"/>
            </w:tcBorders>
            <w:tcMar>
              <w:top w:w="57" w:type="dxa"/>
              <w:left w:w="57" w:type="dxa"/>
              <w:bottom w:w="57" w:type="dxa"/>
              <w:right w:w="57" w:type="dxa"/>
            </w:tcMar>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 xml:space="preserve">Risanamento acustico delle </w:t>
            </w:r>
            <w:r>
              <w:rPr>
                <w:rFonts w:eastAsia="Mangal" w:cs="Arial" w:ascii="Arial" w:hAnsi="Arial"/>
                <w:b/>
                <w:bCs/>
                <w:sz w:val="16"/>
                <w:szCs w:val="18"/>
                <w:u w:val="single"/>
                <w:lang w:eastAsia="hi-IN"/>
              </w:rPr>
              <w:t>attività industriali</w:t>
            </w:r>
          </w:p>
        </w:tc>
        <w:tc>
          <w:tcPr>
            <w:tcW w:w="2738" w:type="dxa"/>
            <w:tcBorders>
              <w:top w:val="single" w:sz="2" w:space="0" w:color="000000"/>
              <w:left w:val="single" w:sz="2" w:space="0" w:color="000000"/>
              <w:bottom w:val="single" w:sz="4" w:space="0" w:color="000000"/>
            </w:tcBorders>
            <w:tcMar>
              <w:top w:w="57" w:type="dxa"/>
              <w:left w:w="57" w:type="dxa"/>
              <w:bottom w:w="57" w:type="dxa"/>
              <w:right w:w="57" w:type="dxa"/>
            </w:tcMar>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Attività industriali ubicate nell’Agglomerato di Cagliari</w:t>
            </w:r>
          </w:p>
        </w:tc>
        <w:tc>
          <w:tcPr>
            <w:tcW w:w="2164" w:type="dxa"/>
            <w:tcBorders>
              <w:top w:val="single" w:sz="2" w:space="0" w:color="000000"/>
              <w:left w:val="single" w:sz="2" w:space="0" w:color="000000"/>
              <w:bottom w:val="single" w:sz="4" w:space="0" w:color="000000"/>
            </w:tcBorders>
            <w:tcMar>
              <w:top w:w="57" w:type="dxa"/>
              <w:left w:w="57" w:type="dxa"/>
              <w:bottom w:w="57" w:type="dxa"/>
              <w:right w:w="57" w:type="dxa"/>
            </w:tcMar>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Aziende inserite nell’Agglomerato di Cagliari</w:t>
            </w:r>
          </w:p>
        </w:tc>
        <w:tc>
          <w:tcPr>
            <w:tcW w:w="2173" w:type="dxa"/>
            <w:tcBorders>
              <w:top w:val="single" w:sz="2" w:space="0" w:color="000000"/>
              <w:left w:val="single" w:sz="2" w:space="0" w:color="000000"/>
              <w:bottom w:val="single" w:sz="2" w:space="0" w:color="000000"/>
              <w:right w:val="single" w:sz="4" w:space="0" w:color="000000"/>
            </w:tcBorders>
            <w:shd w:color="auto" w:fill="auto" w:val="clear"/>
            <w:tcMar>
              <w:top w:w="57" w:type="dxa"/>
              <w:left w:w="57" w:type="dxa"/>
              <w:bottom w:w="57" w:type="dxa"/>
              <w:right w:w="57" w:type="dxa"/>
            </w:tcMar>
            <w:vAlign w:val="center"/>
          </w:tcPr>
          <w:p>
            <w:pPr>
              <w:pStyle w:val="Standard"/>
              <w:rPr>
                <w:rFonts w:ascii="Arial" w:hAnsi="Arial" w:eastAsia="Mangal" w:cs="Arial"/>
                <w:sz w:val="16"/>
                <w:szCs w:val="18"/>
                <w:lang w:eastAsia="hi-IN"/>
              </w:rPr>
            </w:pPr>
            <w:r>
              <w:rPr>
                <w:rFonts w:eastAsia="Mangal" w:cs="Arial" w:ascii="Arial" w:hAnsi="Arial"/>
                <w:sz w:val="16"/>
                <w:szCs w:val="18"/>
                <w:lang w:eastAsia="hi-IN"/>
              </w:rPr>
              <w:t>L.q. 447/1995</w:t>
            </w:r>
          </w:p>
          <w:p>
            <w:pPr>
              <w:pStyle w:val="Standard"/>
              <w:rPr>
                <w:rFonts w:ascii="Arial" w:hAnsi="Arial" w:eastAsia="Mangal" w:cs="Arial"/>
                <w:sz w:val="16"/>
                <w:szCs w:val="18"/>
                <w:lang w:eastAsia="hi-IN"/>
              </w:rPr>
            </w:pPr>
            <w:r>
              <w:rPr>
                <w:rFonts w:eastAsia="Mangal" w:cs="Arial" w:ascii="Arial" w:hAnsi="Arial"/>
                <w:sz w:val="16"/>
                <w:szCs w:val="18"/>
                <w:lang w:eastAsia="hi-IN"/>
              </w:rPr>
              <w:t>D.G.R. 62/9 del 14/11/2008 (RAS)</w:t>
            </w:r>
          </w:p>
        </w:tc>
      </w:tr>
    </w:tbl>
    <w:p>
      <w:pPr>
        <w:pStyle w:val="Standard"/>
        <w:rPr>
          <w:rFonts w:ascii="Arial" w:hAnsi="Arial" w:eastAsia="Mangal"/>
          <w:i/>
          <w:i/>
          <w:iCs/>
          <w:sz w:val="16"/>
          <w:szCs w:val="18"/>
          <w:lang w:eastAsia="hi-IN"/>
        </w:rPr>
      </w:pPr>
      <w:r>
        <w:rPr>
          <w:rFonts w:eastAsia="Mangal" w:ascii="Arial" w:hAnsi="Arial"/>
          <w:i/>
          <w:iCs/>
          <w:sz w:val="16"/>
          <w:szCs w:val="18"/>
          <w:lang w:eastAsia="hi-IN"/>
        </w:rPr>
        <w:t>Tipologia di sorgente ed ambiti di competenza – Contesto giuridico</w:t>
      </w:r>
    </w:p>
    <w:p>
      <w:pPr>
        <w:pStyle w:val="Standard"/>
        <w:jc w:val="both"/>
        <w:rPr>
          <w:rFonts w:ascii="Arial" w:hAnsi="Arial"/>
          <w:sz w:val="18"/>
          <w:szCs w:val="20"/>
        </w:rPr>
      </w:pPr>
      <w:r>
        <w:rPr>
          <w:rFonts w:ascii="Arial" w:hAnsi="Arial"/>
          <w:sz w:val="18"/>
          <w:szCs w:val="20"/>
        </w:rPr>
      </w:r>
    </w:p>
    <w:p>
      <w:pPr>
        <w:pStyle w:val="NormaleCorpo"/>
        <w:spacing w:lineRule="auto" w:line="360" w:beforeAutospacing="1" w:after="120"/>
        <w:rPr>
          <w:rFonts w:ascii="Arial" w:hAnsi="Arial" w:cs="Arial"/>
          <w:sz w:val="18"/>
          <w:szCs w:val="20"/>
        </w:rPr>
      </w:pPr>
      <w:r>
        <w:rPr>
          <w:rFonts w:cs="Arial" w:ascii="Arial" w:hAnsi="Arial"/>
          <w:sz w:val="18"/>
          <w:szCs w:val="20"/>
        </w:rPr>
        <w:t>Il D.Lgs. 194/2005 prevede l’emanazione di una serie di decreti attuativi che al momento ancora non sono stati emanati: il decreto finalizzato a definire i criteri e le metodologie per la predisposizione della mappatura acustica e delle mappe acustiche strategiche (articolo 3, comma 5), il decreto relativo ai criteri per la predisposizione dei piani d’azione (articolo 4, comma 5), il decreto relativo ai criteri e agli algoritmi per la conversione dei valori limite per i descrittori acustici Lden</w:t>
      </w:r>
      <w:r>
        <w:rPr>
          <w:rFonts w:cs="Arial" w:ascii="Arial" w:hAnsi="Arial"/>
          <w:sz w:val="18"/>
          <w:szCs w:val="20"/>
          <w:vertAlign w:val="subscript"/>
        </w:rPr>
        <w:t xml:space="preserve"> </w:t>
      </w:r>
      <w:r>
        <w:rPr>
          <w:rFonts w:cs="Arial" w:ascii="Arial" w:hAnsi="Arial"/>
          <w:sz w:val="18"/>
          <w:szCs w:val="20"/>
        </w:rPr>
        <w:t>e Lnight</w:t>
      </w:r>
      <w:r>
        <w:rPr>
          <w:rFonts w:cs="Arial" w:ascii="Arial" w:hAnsi="Arial"/>
          <w:sz w:val="18"/>
          <w:szCs w:val="20"/>
          <w:vertAlign w:val="subscript"/>
        </w:rPr>
        <w:t xml:space="preserve"> </w:t>
      </w:r>
      <w:r>
        <w:rPr>
          <w:rFonts w:cs="Arial" w:ascii="Arial" w:hAnsi="Arial"/>
          <w:sz w:val="18"/>
          <w:szCs w:val="20"/>
        </w:rPr>
        <w:t>(articolo 5, comma 2), il decreto inerente ai metodi di determinazione dei descrittori acustici Lden</w:t>
      </w:r>
      <w:r>
        <w:rPr>
          <w:rFonts w:cs="Arial" w:ascii="Arial" w:hAnsi="Arial"/>
          <w:sz w:val="18"/>
          <w:szCs w:val="20"/>
          <w:vertAlign w:val="subscript"/>
        </w:rPr>
        <w:t xml:space="preserve"> </w:t>
      </w:r>
      <w:r>
        <w:rPr>
          <w:rFonts w:cs="Arial" w:ascii="Arial" w:hAnsi="Arial"/>
          <w:sz w:val="18"/>
          <w:szCs w:val="20"/>
        </w:rPr>
        <w:t xml:space="preserve">e Lnight </w:t>
      </w:r>
      <w:r>
        <w:rPr>
          <w:rFonts w:cs="Arial" w:ascii="Arial" w:hAnsi="Arial"/>
          <w:sz w:val="18"/>
          <w:szCs w:val="20"/>
          <w:vertAlign w:val="subscript"/>
        </w:rPr>
        <w:t xml:space="preserve"> </w:t>
      </w:r>
      <w:r>
        <w:rPr>
          <w:rFonts w:cs="Arial" w:ascii="Arial" w:hAnsi="Arial"/>
          <w:sz w:val="18"/>
          <w:szCs w:val="20"/>
        </w:rPr>
        <w:t>(articolo 6, comma 1).</w:t>
      </w:r>
    </w:p>
    <w:p>
      <w:pPr>
        <w:pStyle w:val="NormaleCorpo"/>
        <w:spacing w:lineRule="auto" w:line="360" w:beforeAutospacing="1" w:after="120"/>
        <w:rPr>
          <w:rFonts w:ascii="Arial" w:hAnsi="Arial" w:cs="Arial"/>
          <w:sz w:val="18"/>
          <w:szCs w:val="20"/>
        </w:rPr>
      </w:pPr>
      <w:r>
        <w:rPr>
          <w:rFonts w:cs="Arial" w:ascii="Arial" w:hAnsi="Arial"/>
          <w:sz w:val="18"/>
          <w:szCs w:val="20"/>
        </w:rPr>
        <w:t>Occorre tuttavia ricordare che l’ente normatore italiano UNI ha pubblicato le seguenti norme di valenza tecnica:</w:t>
      </w:r>
    </w:p>
    <w:p>
      <w:pPr>
        <w:pStyle w:val="NormaleCorpo"/>
        <w:numPr>
          <w:ilvl w:val="0"/>
          <w:numId w:val="3"/>
        </w:numPr>
        <w:spacing w:lineRule="auto" w:line="360" w:beforeAutospacing="1" w:after="120"/>
        <w:rPr>
          <w:rFonts w:ascii="Arial" w:hAnsi="Arial" w:cs="Arial"/>
          <w:sz w:val="18"/>
          <w:szCs w:val="20"/>
        </w:rPr>
      </w:pPr>
      <w:r>
        <w:rPr>
          <w:rFonts w:cs="Arial" w:ascii="Arial" w:hAnsi="Arial"/>
          <w:sz w:val="18"/>
          <w:szCs w:val="20"/>
        </w:rPr>
        <w:t>UNI 11252:2007 Acustica - Procedure di conversione dei valori di LAeq diurno e notturno e di LVA nei descrittori Lden e Lnight.</w:t>
      </w:r>
    </w:p>
    <w:p>
      <w:pPr>
        <w:pStyle w:val="NormaleCorpo"/>
        <w:numPr>
          <w:ilvl w:val="0"/>
          <w:numId w:val="3"/>
        </w:numPr>
        <w:spacing w:lineRule="auto" w:line="360" w:before="0" w:after="120"/>
        <w:rPr>
          <w:rFonts w:ascii="Arial" w:hAnsi="Arial" w:cs="Arial"/>
          <w:sz w:val="18"/>
          <w:szCs w:val="20"/>
        </w:rPr>
      </w:pPr>
      <w:r>
        <w:rPr>
          <w:rFonts w:cs="Arial" w:ascii="Arial" w:hAnsi="Arial"/>
          <w:sz w:val="18"/>
          <w:szCs w:val="20"/>
        </w:rPr>
        <w:t>UNI/TR 11327:2009 Acustica – Criteri per la predisposizione dei piani d’azione destinati a gestire i problemi di inquinamento acustico e i relativi effetti.</w:t>
      </w:r>
    </w:p>
    <w:p>
      <w:pPr>
        <w:pStyle w:val="Standard"/>
        <w:spacing w:lineRule="auto" w:line="360" w:beforeAutospacing="1" w:after="120"/>
        <w:jc w:val="both"/>
        <w:rPr>
          <w:rFonts w:ascii="Arial" w:hAnsi="Arial" w:eastAsia="Mangal" w:cs="Arial"/>
          <w:sz w:val="18"/>
          <w:szCs w:val="20"/>
          <w:lang w:eastAsia="hi-IN"/>
        </w:rPr>
      </w:pPr>
      <w:r>
        <w:rPr>
          <w:rFonts w:eastAsia="Mangal" w:cs="Arial" w:ascii="Arial" w:hAnsi="Arial"/>
          <w:sz w:val="18"/>
          <w:szCs w:val="20"/>
          <w:lang w:eastAsia="hi-IN"/>
        </w:rPr>
      </w:r>
    </w:p>
    <w:p>
      <w:pPr>
        <w:pStyle w:val="NormaleCorpo"/>
        <w:spacing w:lineRule="auto" w:line="360" w:beforeAutospacing="1" w:after="120"/>
        <w:rPr>
          <w:rFonts w:ascii="Arial" w:hAnsi="Arial" w:cs="Arial"/>
          <w:sz w:val="18"/>
          <w:szCs w:val="20"/>
        </w:rPr>
      </w:pPr>
      <w:r>
        <w:rPr>
          <w:rFonts w:cs="Arial" w:ascii="Arial" w:hAnsi="Arial"/>
          <w:sz w:val="18"/>
          <w:szCs w:val="20"/>
        </w:rPr>
        <w:t>Inoltre il Ministero dell'Ambiente e della Tutela del Territorio e del Mare (MATTM) ha negli anni predisposto dei documenti denominati:</w:t>
      </w:r>
    </w:p>
    <w:p>
      <w:pPr>
        <w:pStyle w:val="NormaleCorpo"/>
        <w:numPr>
          <w:ilvl w:val="0"/>
          <w:numId w:val="5"/>
        </w:numPr>
        <w:spacing w:lineRule="auto" w:line="360" w:beforeAutospacing="1" w:after="120"/>
        <w:rPr>
          <w:rFonts w:ascii="Arial" w:hAnsi="Arial" w:cs="Arial"/>
          <w:sz w:val="18"/>
          <w:szCs w:val="20"/>
        </w:rPr>
      </w:pPr>
      <w:r>
        <w:rPr>
          <w:rFonts w:cs="Arial" w:ascii="Arial" w:hAnsi="Arial"/>
          <w:sz w:val="18"/>
          <w:szCs w:val="20"/>
        </w:rPr>
        <w:t>Specifiche tecniche per la predisposizione e la consegna dei set di dati digitali relativi alle mappature acustiche e alle mappe acustiche strategiche (D.Lgs. 194/2005), marzo 2022;</w:t>
      </w:r>
    </w:p>
    <w:p>
      <w:pPr>
        <w:pStyle w:val="NormaleCorpo"/>
        <w:numPr>
          <w:ilvl w:val="0"/>
          <w:numId w:val="5"/>
        </w:numPr>
        <w:spacing w:lineRule="auto" w:line="360" w:before="0" w:after="120"/>
        <w:rPr>
          <w:rFonts w:ascii="Arial" w:hAnsi="Arial" w:cs="Arial"/>
          <w:sz w:val="18"/>
          <w:szCs w:val="20"/>
        </w:rPr>
      </w:pPr>
      <w:r>
        <w:rPr>
          <w:rFonts w:cs="Arial" w:ascii="Arial" w:hAnsi="Arial"/>
          <w:sz w:val="18"/>
          <w:szCs w:val="20"/>
        </w:rPr>
        <w:t>Specifiche tecniche per la compilazione dei metadati relativi ai set di dati digitali relativi alle mappature acustiche e alle mappe acustiche strategiche (D.Lgs. 194/2005), marzo 2022;</w:t>
      </w:r>
    </w:p>
    <w:p>
      <w:pPr>
        <w:pStyle w:val="NormaleCorpo"/>
        <w:numPr>
          <w:ilvl w:val="0"/>
          <w:numId w:val="5"/>
        </w:numPr>
        <w:spacing w:lineRule="auto" w:line="360" w:before="0" w:after="120"/>
        <w:rPr>
          <w:rFonts w:ascii="Arial" w:hAnsi="Arial" w:cs="Arial"/>
          <w:sz w:val="18"/>
          <w:szCs w:val="20"/>
        </w:rPr>
      </w:pPr>
      <w:r>
        <w:rPr>
          <w:rFonts w:cs="Arial" w:ascii="Arial" w:hAnsi="Arial"/>
          <w:sz w:val="18"/>
          <w:szCs w:val="20"/>
        </w:rPr>
        <w:t>Definizione del contenuto minimo delle relazioni inerenti alla metodologia di determinazione delle mappature acustiche e mappe acustiche strategiche e valori descrittivi delle zone soggette ai livelli di rumore - Linee guida, marzo 2022;</w:t>
      </w:r>
    </w:p>
    <w:p>
      <w:pPr>
        <w:pStyle w:val="NormaleCorpo"/>
        <w:numPr>
          <w:ilvl w:val="0"/>
          <w:numId w:val="5"/>
        </w:numPr>
        <w:spacing w:lineRule="auto" w:line="360" w:before="0" w:after="120"/>
        <w:rPr>
          <w:rFonts w:ascii="Arial" w:hAnsi="Arial" w:cs="Arial"/>
          <w:sz w:val="18"/>
          <w:szCs w:val="20"/>
        </w:rPr>
      </w:pPr>
      <w:r>
        <w:rPr>
          <w:rFonts w:cs="Arial" w:ascii="Arial" w:hAnsi="Arial"/>
          <w:sz w:val="18"/>
          <w:szCs w:val="20"/>
        </w:rPr>
        <w:t>File zip contenente gli schemi, in formato GeoPackage (.gpkg), per la notifica delle sorgenti di rumore (DF1_5) – aggiornamento marzo 2022;</w:t>
      </w:r>
    </w:p>
    <w:p>
      <w:pPr>
        <w:pStyle w:val="NormaleCorpo"/>
        <w:numPr>
          <w:ilvl w:val="0"/>
          <w:numId w:val="5"/>
        </w:numPr>
        <w:spacing w:lineRule="auto" w:line="360" w:before="0" w:after="120"/>
        <w:rPr>
          <w:rFonts w:ascii="Arial" w:hAnsi="Arial" w:cs="Arial"/>
          <w:sz w:val="18"/>
          <w:szCs w:val="20"/>
        </w:rPr>
      </w:pPr>
      <w:r>
        <w:rPr>
          <w:rFonts w:cs="Arial" w:ascii="Arial" w:hAnsi="Arial"/>
          <w:sz w:val="18"/>
          <w:szCs w:val="20"/>
        </w:rPr>
        <w:t>File, in formato excel (.xls), per la dichiarazione delle autorità compenti (DF2) per la redazione e trasmissione delle mappature acustiche e delle mappe acustiche strategiche;</w:t>
      </w:r>
    </w:p>
    <w:p>
      <w:pPr>
        <w:pStyle w:val="NormaleCorpo"/>
        <w:numPr>
          <w:ilvl w:val="0"/>
          <w:numId w:val="5"/>
        </w:numPr>
        <w:spacing w:lineRule="auto" w:line="360" w:before="0" w:after="120"/>
        <w:rPr>
          <w:rFonts w:ascii="Arial" w:hAnsi="Arial" w:cs="Arial"/>
          <w:sz w:val="18"/>
          <w:szCs w:val="20"/>
        </w:rPr>
      </w:pPr>
      <w:r>
        <w:rPr>
          <w:rFonts w:cs="Arial" w:ascii="Arial" w:hAnsi="Arial"/>
          <w:sz w:val="18"/>
          <w:szCs w:val="20"/>
        </w:rPr>
        <w:t>File zip contenente gli schemi, in formato GeoPackage (.gpkg), per le mappature acustiche e le mappe acustiche strategiche delle sorgenti dichiarate (DF4_8) – aggiornamento maggio 2022;</w:t>
      </w:r>
    </w:p>
    <w:p>
      <w:pPr>
        <w:pStyle w:val="NormaleCorpo"/>
        <w:spacing w:lineRule="auto" w:line="360" w:beforeAutospacing="1" w:after="120"/>
        <w:rPr>
          <w:rFonts w:ascii="Arial" w:hAnsi="Arial" w:cs="Arial"/>
          <w:sz w:val="18"/>
          <w:szCs w:val="20"/>
        </w:rPr>
      </w:pPr>
      <w:r>
        <w:rPr>
          <w:rFonts w:cs="Arial" w:ascii="Arial" w:hAnsi="Arial"/>
          <w:sz w:val="18"/>
          <w:szCs w:val="20"/>
        </w:rPr>
        <w:t>In relazione alla stesura dei Piani d’Azione nello specifico:</w:t>
      </w:r>
    </w:p>
    <w:p>
      <w:pPr>
        <w:pStyle w:val="NormaleCorpo"/>
        <w:numPr>
          <w:ilvl w:val="0"/>
          <w:numId w:val="4"/>
        </w:numPr>
        <w:spacing w:lineRule="auto" w:line="360" w:beforeAutospacing="1" w:after="120"/>
        <w:rPr>
          <w:rFonts w:ascii="Arial" w:hAnsi="Arial" w:cs="Arial"/>
          <w:sz w:val="18"/>
          <w:szCs w:val="20"/>
        </w:rPr>
      </w:pPr>
      <w:r>
        <w:rPr>
          <w:rFonts w:cs="Arial" w:ascii="Arial" w:hAnsi="Arial"/>
          <w:sz w:val="18"/>
          <w:szCs w:val="20"/>
        </w:rPr>
        <w:t>Specifiche dati Piani d'Azione</w:t>
      </w:r>
    </w:p>
    <w:p>
      <w:pPr>
        <w:pStyle w:val="NormaleCorpo"/>
        <w:numPr>
          <w:ilvl w:val="0"/>
          <w:numId w:val="4"/>
        </w:numPr>
        <w:spacing w:lineRule="auto" w:line="360" w:before="0" w:after="120"/>
        <w:rPr>
          <w:rFonts w:ascii="Arial" w:hAnsi="Arial" w:cs="Arial"/>
          <w:sz w:val="18"/>
          <w:szCs w:val="20"/>
        </w:rPr>
      </w:pPr>
      <w:r>
        <w:rPr>
          <w:rFonts w:cs="Arial" w:ascii="Arial" w:hAnsi="Arial"/>
          <w:sz w:val="18"/>
          <w:szCs w:val="20"/>
        </w:rPr>
        <w:t>Specifiche Metadato</w:t>
      </w:r>
    </w:p>
    <w:p>
      <w:pPr>
        <w:pStyle w:val="NormaleCorpo"/>
        <w:numPr>
          <w:ilvl w:val="0"/>
          <w:numId w:val="4"/>
        </w:numPr>
        <w:spacing w:lineRule="auto" w:line="360" w:before="0" w:after="120"/>
        <w:rPr>
          <w:rFonts w:ascii="Arial" w:hAnsi="Arial" w:cs="Arial"/>
          <w:sz w:val="18"/>
          <w:szCs w:val="20"/>
        </w:rPr>
      </w:pPr>
      <w:r>
        <w:rPr>
          <w:rFonts w:cs="Arial" w:ascii="Arial" w:hAnsi="Arial"/>
          <w:sz w:val="18"/>
          <w:szCs w:val="20"/>
        </w:rPr>
        <w:t>Sintesi Piani d'Azione</w:t>
      </w:r>
    </w:p>
    <w:p>
      <w:pPr>
        <w:pStyle w:val="NormaleCorpo"/>
        <w:numPr>
          <w:ilvl w:val="0"/>
          <w:numId w:val="4"/>
        </w:numPr>
        <w:spacing w:lineRule="auto" w:line="360" w:before="0" w:after="120"/>
        <w:rPr>
          <w:rFonts w:ascii="Arial" w:hAnsi="Arial" w:cs="Arial"/>
          <w:sz w:val="18"/>
          <w:szCs w:val="20"/>
        </w:rPr>
      </w:pPr>
      <w:r>
        <w:rPr>
          <w:rFonts w:cs="Arial" w:ascii="Arial" w:hAnsi="Arial"/>
          <w:sz w:val="18"/>
          <w:szCs w:val="20"/>
        </w:rPr>
        <w:t>Data Model - dicembre 2022</w:t>
      </w:r>
    </w:p>
    <w:p>
      <w:pPr>
        <w:pStyle w:val="NormaleCorpo"/>
        <w:numPr>
          <w:ilvl w:val="0"/>
          <w:numId w:val="4"/>
        </w:numPr>
        <w:spacing w:lineRule="auto" w:line="360" w:before="0" w:after="120"/>
        <w:rPr>
          <w:rFonts w:ascii="Arial" w:hAnsi="Arial" w:cs="Arial"/>
          <w:sz w:val="18"/>
          <w:szCs w:val="20"/>
        </w:rPr>
      </w:pPr>
      <w:r>
        <w:rPr>
          <w:rFonts w:cs="Arial" w:ascii="Arial" w:hAnsi="Arial"/>
          <w:sz w:val="18"/>
          <w:szCs w:val="20"/>
        </w:rPr>
        <w:t>Linee guida - dicembre 2022</w:t>
      </w:r>
    </w:p>
    <w:p>
      <w:pPr>
        <w:pStyle w:val="NormaleCorpo"/>
        <w:numPr>
          <w:ilvl w:val="0"/>
          <w:numId w:val="4"/>
        </w:numPr>
        <w:spacing w:lineRule="auto" w:line="360" w:before="0" w:after="120"/>
        <w:rPr>
          <w:rFonts w:ascii="Arial" w:hAnsi="Arial" w:cs="Arial"/>
          <w:sz w:val="18"/>
          <w:szCs w:val="20"/>
        </w:rPr>
      </w:pPr>
      <w:r>
        <w:rPr>
          <w:rFonts w:cs="Arial" w:ascii="Arial" w:hAnsi="Arial"/>
          <w:sz w:val="18"/>
          <w:szCs w:val="20"/>
        </w:rPr>
        <w:t>Geopackage template - marzo 2022</w:t>
      </w:r>
    </w:p>
    <w:p>
      <w:pPr>
        <w:pStyle w:val="NormaleCorpo"/>
        <w:numPr>
          <w:ilvl w:val="0"/>
          <w:numId w:val="4"/>
        </w:numPr>
        <w:spacing w:lineRule="auto" w:line="360" w:before="0" w:after="120"/>
        <w:rPr>
          <w:rFonts w:ascii="Arial" w:hAnsi="Arial" w:cs="Arial"/>
          <w:sz w:val="18"/>
          <w:szCs w:val="20"/>
        </w:rPr>
      </w:pPr>
      <w:r>
        <w:rPr>
          <w:rFonts w:cs="Arial" w:ascii="Arial" w:hAnsi="Arial"/>
          <w:sz w:val="18"/>
          <w:szCs w:val="20"/>
        </w:rPr>
        <w:t>Excel template - dicembre 2022</w:t>
      </w:r>
    </w:p>
    <w:p>
      <w:pPr>
        <w:pStyle w:val="NormaleCorpo"/>
        <w:spacing w:lineRule="auto" w:line="360" w:beforeAutospacing="1" w:after="120"/>
        <w:rPr>
          <w:rFonts w:ascii="Arial" w:hAnsi="Arial" w:cs="Arial"/>
          <w:sz w:val="18"/>
          <w:szCs w:val="20"/>
        </w:rPr>
      </w:pPr>
      <w:r>
        <w:rPr>
          <w:rFonts w:eastAsia="Helvetica, Arial" w:cs="Arial" w:ascii="Arial" w:hAnsi="Arial"/>
          <w:sz w:val="18"/>
          <w:szCs w:val="20"/>
        </w:rPr>
        <w:t xml:space="preserve">I </w:t>
      </w:r>
      <w:r>
        <w:rPr>
          <w:rFonts w:eastAsia="Helvetica, Arial" w:cs="Arial" w:ascii="Arial" w:hAnsi="Arial"/>
          <w:b/>
          <w:bCs/>
          <w:sz w:val="18"/>
          <w:szCs w:val="20"/>
        </w:rPr>
        <w:t>piani d'azione</w:t>
      </w:r>
      <w:r>
        <w:rPr>
          <w:rFonts w:eastAsia="Helvetica, Arial" w:cs="Arial" w:ascii="Arial" w:hAnsi="Arial"/>
          <w:sz w:val="18"/>
          <w:szCs w:val="20"/>
        </w:rPr>
        <w:t xml:space="preserve"> rappresentano </w:t>
      </w:r>
      <w:r>
        <w:rPr>
          <w:rFonts w:cs="Arial" w:ascii="Arial" w:hAnsi="Arial"/>
          <w:sz w:val="18"/>
          <w:szCs w:val="20"/>
        </w:rPr>
        <w:t xml:space="preserve">“i piani destinati a gestire i problemi di inquinamento acustico ed i relativi effetti, compresa, se necessario, la sua riduzione” </w:t>
      </w:r>
      <w:r>
        <w:rPr>
          <w:rFonts w:eastAsia="Helvetica, Arial" w:cs="Arial" w:ascii="Arial" w:hAnsi="Arial"/>
          <w:sz w:val="18"/>
          <w:szCs w:val="20"/>
        </w:rPr>
        <w:t>(cfr. lettera q) comma 1 articolo 2 del D.Lgs.).</w:t>
      </w:r>
    </w:p>
    <w:p>
      <w:pPr>
        <w:pStyle w:val="NormaleCorpo"/>
        <w:spacing w:lineRule="auto" w:line="360" w:beforeAutospacing="1" w:after="120"/>
        <w:rPr>
          <w:rFonts w:ascii="Arial" w:hAnsi="Arial" w:cs="Arial"/>
          <w:sz w:val="18"/>
          <w:szCs w:val="20"/>
        </w:rPr>
      </w:pPr>
      <w:r>
        <w:rPr>
          <w:rFonts w:cs="Arial" w:ascii="Arial" w:hAnsi="Arial"/>
          <w:sz w:val="18"/>
          <w:szCs w:val="20"/>
        </w:rPr>
        <w:t>La finalità di questi strumenti è di evitare, prevenire o ridurre gli effetti nocivi dell’esposizione al rumore ambientale, compreso il fastidio, assicurando l’informazione e la partecipazione del pubblico.</w:t>
      </w:r>
    </w:p>
    <w:p>
      <w:pPr>
        <w:pStyle w:val="Standard"/>
        <w:spacing w:lineRule="auto" w:line="360" w:beforeAutospacing="1" w:after="120"/>
        <w:rPr>
          <w:rFonts w:ascii="Arial" w:hAnsi="Arial" w:cs="Arial"/>
          <w:sz w:val="18"/>
          <w:szCs w:val="20"/>
        </w:rPr>
      </w:pPr>
      <w:r>
        <w:rPr>
          <w:rFonts w:cs="Arial" w:ascii="Arial" w:hAnsi="Arial"/>
          <w:sz w:val="18"/>
          <w:szCs w:val="20"/>
        </w:rPr>
      </w:r>
    </w:p>
    <w:p>
      <w:pPr>
        <w:pStyle w:val="Heading1"/>
        <w:numPr>
          <w:ilvl w:val="0"/>
          <w:numId w:val="1"/>
        </w:numPr>
        <w:rPr>
          <w:rFonts w:ascii="Arial" w:hAnsi="Arial" w:cs="Arial"/>
          <w:sz w:val="18"/>
          <w:szCs w:val="20"/>
        </w:rPr>
      </w:pPr>
      <w:bookmarkStart w:id="12" w:name="__RefHeading__18008_1831176500"/>
      <w:bookmarkStart w:id="13" w:name="_Toc172196608"/>
      <w:bookmarkEnd w:id="12"/>
      <w:r>
        <w:rPr>
          <w:rFonts w:cs="Arial" w:ascii="Arial" w:hAnsi="Arial"/>
          <w:sz w:val="18"/>
          <w:szCs w:val="20"/>
        </w:rPr>
        <w:t>VALORI LIMITE IN VIGORE AI SENSI DELL’ART. 5 DEL D.LGS. 194/2005 - Requisito di cui all. 5 D.Lgs. 194/2005 lett.d)</w:t>
      </w:r>
      <w:bookmarkEnd w:id="13"/>
    </w:p>
    <w:p>
      <w:pPr>
        <w:pStyle w:val="NormaleCorpo"/>
        <w:rPr>
          <w:rFonts w:ascii="Arial" w:hAnsi="Arial" w:eastAsia="Mangal" w:cs="Arial"/>
          <w:sz w:val="18"/>
          <w:szCs w:val="20"/>
        </w:rPr>
      </w:pPr>
      <w:r>
        <w:rPr>
          <w:rFonts w:eastAsia="Mangal" w:cs="Arial" w:ascii="Arial" w:hAnsi="Arial"/>
          <w:sz w:val="18"/>
          <w:szCs w:val="20"/>
        </w:rPr>
        <w:t xml:space="preserve">Secondo quanto previsto dall’art.5 D.Lgs. 194/2005 i “valori limite” devono essere espressi da ogni Paese Membro in termini di descrittori acustici europei </w:t>
      </w:r>
      <w:r>
        <w:rPr>
          <w:rFonts w:eastAsia="Mangal" w:cs="Arial" w:ascii="Arial" w:hAnsi="Arial"/>
          <w:color w:val="000000"/>
          <w:sz w:val="18"/>
          <w:szCs w:val="20"/>
        </w:rPr>
        <w:t>Lden e Lnight</w:t>
      </w:r>
      <w:r>
        <w:rPr>
          <w:rFonts w:eastAsia="Mangal" w:cs="Arial" w:ascii="Arial" w:hAnsi="Arial"/>
          <w:position w:val="-8"/>
          <w:sz w:val="18"/>
          <w:szCs w:val="20"/>
        </w:rPr>
        <w:t xml:space="preserve"> </w:t>
      </w:r>
      <w:r>
        <w:rPr>
          <w:rFonts w:eastAsia="Mangal" w:cs="Arial" w:ascii="Arial" w:hAnsi="Arial"/>
          <w:sz w:val="18"/>
          <w:szCs w:val="20"/>
        </w:rPr>
        <w:t>.</w:t>
      </w:r>
    </w:p>
    <w:p>
      <w:pPr>
        <w:pStyle w:val="NormaleCorpo"/>
        <w:rPr>
          <w:rFonts w:ascii="Arial" w:hAnsi="Arial" w:eastAsia="Mangal" w:cs="Arial"/>
          <w:sz w:val="18"/>
          <w:szCs w:val="20"/>
        </w:rPr>
      </w:pPr>
      <w:r>
        <w:rPr>
          <w:rFonts w:eastAsia="Mangal" w:cs="Arial" w:ascii="Arial" w:hAnsi="Arial"/>
          <w:sz w:val="18"/>
          <w:szCs w:val="20"/>
        </w:rPr>
        <w:t xml:space="preserve">I decreti attuativi per la formulazione dei criteri ed algoritmi per la conversione dei valori limite previsti dall’art.2 del D.Lgs. non sono mai stati predisposti. Pertanto, al momento della pubblicazione del presente piano d'azione, vale il disposto del comma 4 art.5 del D.Lgs. 194/2005, che recita: </w:t>
      </w:r>
    </w:p>
    <w:p>
      <w:pPr>
        <w:pStyle w:val="NormaleCorpo"/>
        <w:rPr>
          <w:rFonts w:ascii="Arial" w:hAnsi="Arial" w:eastAsia="Mangal" w:cs="Arial"/>
          <w:i/>
          <w:i/>
          <w:iCs/>
          <w:sz w:val="18"/>
          <w:szCs w:val="20"/>
        </w:rPr>
      </w:pPr>
      <w:r>
        <w:rPr>
          <w:rFonts w:eastAsia="Mangal" w:cs="Arial" w:ascii="Arial" w:hAnsi="Arial"/>
          <w:i/>
          <w:iCs/>
          <w:sz w:val="18"/>
          <w:szCs w:val="20"/>
        </w:rPr>
        <w:t>Fino all'emanazione dei decreti di cui al comma 2 si utilizzano i descrittori acustici ed i relativi valori limite determinati ai sensi dell'art. 3 della legge n.447/1995, come definiti nelle norme attuative del DPCM 14/11/1997 (limiti di emissione e di immissione e valori guida), DPR n. 142/2004 (limiti per le infrastrutture stradali), DPR n.459/1998 (limiti per le infrastrutture ferroviarie) e il DM 31/10/1997 (limiti per le infrastrutture aeroportuali).</w:t>
      </w:r>
    </w:p>
    <w:p>
      <w:pPr>
        <w:pStyle w:val="Standard"/>
        <w:rPr>
          <w:rFonts w:ascii="Arial" w:hAnsi="Arial" w:eastAsia="Mangal" w:cs="Arial"/>
          <w:i/>
          <w:i/>
          <w:iCs/>
          <w:sz w:val="18"/>
          <w:szCs w:val="20"/>
          <w:lang w:eastAsia="hi-IN"/>
        </w:rPr>
      </w:pPr>
      <w:r>
        <w:rPr>
          <w:rFonts w:eastAsia="Mangal" w:cs="Arial" w:ascii="Arial" w:hAnsi="Arial"/>
          <w:i/>
          <w:iCs/>
          <w:sz w:val="18"/>
          <w:szCs w:val="20"/>
          <w:lang w:eastAsia="hi-IN"/>
        </w:rPr>
      </w:r>
    </w:p>
    <w:p>
      <w:pPr>
        <w:pStyle w:val="Heading1"/>
        <w:numPr>
          <w:ilvl w:val="0"/>
          <w:numId w:val="1"/>
        </w:numPr>
        <w:rPr>
          <w:sz w:val="20"/>
          <w:szCs w:val="22"/>
        </w:rPr>
      </w:pPr>
      <w:bookmarkStart w:id="14" w:name="__RefHeading__18010_1831176500"/>
      <w:bookmarkStart w:id="15" w:name="_Toc172196609"/>
      <w:bookmarkEnd w:id="14"/>
      <w:r>
        <w:rPr>
          <w:sz w:val="20"/>
          <w:szCs w:val="22"/>
        </w:rPr>
        <w:t>SINTESI DEI RISULTATI DELLA MAPPATURA ACUSTICA - Requisito di cui all. 5 D.Lgs. n.194/2005 lett.e)</w:t>
      </w:r>
      <w:bookmarkEnd w:id="15"/>
    </w:p>
    <w:p>
      <w:pPr>
        <w:pStyle w:val="NormaleCorpo"/>
        <w:spacing w:lineRule="auto" w:line="360" w:beforeAutospacing="1" w:after="120"/>
        <w:rPr>
          <w:rFonts w:ascii="Arial" w:hAnsi="Arial" w:cs="Arial"/>
          <w:sz w:val="18"/>
          <w:szCs w:val="20"/>
        </w:rPr>
      </w:pPr>
      <w:r>
        <w:rPr>
          <w:rFonts w:cs="Arial" w:ascii="Arial" w:hAnsi="Arial"/>
          <w:sz w:val="18"/>
          <w:szCs w:val="20"/>
        </w:rPr>
        <w:t xml:space="preserve">I risultati ottenuti evidenziano che il </w:t>
      </w:r>
      <w:r>
        <w:rPr>
          <w:rFonts w:cs="Arial" w:ascii="Arial" w:hAnsi="Arial"/>
          <w:b/>
          <w:bCs/>
          <w:sz w:val="18"/>
          <w:szCs w:val="20"/>
        </w:rPr>
        <w:t>traffico veicolare</w:t>
      </w:r>
      <w:r>
        <w:rPr>
          <w:rFonts w:cs="Arial" w:ascii="Arial" w:hAnsi="Arial"/>
          <w:sz w:val="18"/>
          <w:szCs w:val="20"/>
        </w:rPr>
        <w:t xml:space="preserve"> è la sorgente di rumore infrastrutturale che determina, con ordini di grandezza significativi, un'elevata percentuale di popolazione esposta alle fasce più alte di livelli sonori, sulla base di soglie da potersi considerare come riferimenti di possibili criticità. Indicativa è la distribuzione della popolazione esposta per sorgente infrastrutturale.</w:t>
      </w:r>
    </w:p>
    <w:p>
      <w:pPr>
        <w:pStyle w:val="Normal"/>
        <w:suppressAutoHyphens w:val="false"/>
        <w:spacing w:lineRule="auto" w:line="360" w:beforeAutospacing="1" w:after="120"/>
        <w:rPr>
          <w:rFonts w:ascii="Arial" w:hAnsi="Arial" w:cs="Arial"/>
          <w:sz w:val="18"/>
          <w:szCs w:val="20"/>
          <w:lang w:eastAsia="it-IT"/>
        </w:rPr>
      </w:pPr>
      <w:r>
        <w:rPr>
          <w:rFonts w:cs="Arial" w:ascii="Arial" w:hAnsi="Arial"/>
          <w:sz w:val="18"/>
          <w:szCs w:val="20"/>
          <w:lang w:eastAsia="it-IT"/>
        </w:rPr>
        <w:t>Nelle tabelle seguenti è riassunta l'esposizione della popolazione al rumore prodotto dalla sola infrastruttura stradale suddivisa per i Comuni ricadenti all'interno della Città Metropolitana di Cagliari.</w:t>
      </w:r>
    </w:p>
    <w:p>
      <w:pPr>
        <w:pStyle w:val="Normal"/>
        <w:suppressAutoHyphens w:val="false"/>
        <w:rPr>
          <w:b/>
          <w:bCs/>
          <w:sz w:val="22"/>
          <w:szCs w:val="20"/>
          <w:lang w:eastAsia="it-IT"/>
        </w:rPr>
      </w:pPr>
      <w:r>
        <w:rPr>
          <w:b/>
          <w:bCs/>
          <w:sz w:val="22"/>
          <w:szCs w:val="20"/>
          <w:lang w:eastAsia="it-IT"/>
        </w:rPr>
      </w:r>
    </w:p>
    <w:p>
      <w:pPr>
        <w:pStyle w:val="Normal"/>
        <w:suppressAutoHyphens w:val="false"/>
        <w:rPr>
          <w:b/>
          <w:bCs/>
          <w:sz w:val="22"/>
          <w:szCs w:val="20"/>
          <w:lang w:eastAsia="it-IT"/>
        </w:rPr>
      </w:pPr>
      <w:r>
        <w:rPr/>
        <w:drawing>
          <wp:inline distT="0" distB="0" distL="0" distR="0">
            <wp:extent cx="2796540" cy="4257675"/>
            <wp:effectExtent l="0" t="0" r="0" b="0"/>
            <wp:docPr id="2" name="Immagin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
                    <pic:cNvPicPr>
                      <a:picLocks noChangeAspect="1" noChangeArrowheads="1"/>
                    </pic:cNvPicPr>
                  </pic:nvPicPr>
                  <pic:blipFill>
                    <a:blip r:embed="rId3"/>
                    <a:stretch>
                      <a:fillRect/>
                    </a:stretch>
                  </pic:blipFill>
                  <pic:spPr bwMode="auto">
                    <a:xfrm>
                      <a:off x="0" y="0"/>
                      <a:ext cx="2796540" cy="4257675"/>
                    </a:xfrm>
                    <a:prstGeom prst="rect">
                      <a:avLst/>
                    </a:prstGeom>
                  </pic:spPr>
                </pic:pic>
              </a:graphicData>
            </a:graphic>
          </wp:inline>
        </w:drawing>
      </w:r>
      <w:r>
        <w:rPr/>
        <w:drawing>
          <wp:inline distT="0" distB="0" distL="0" distR="0">
            <wp:extent cx="2956560" cy="4297045"/>
            <wp:effectExtent l="0" t="0" r="0" b="0"/>
            <wp:docPr id="3" name="Immagin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4" descr=""/>
                    <pic:cNvPicPr>
                      <a:picLocks noChangeAspect="1" noChangeArrowheads="1"/>
                    </pic:cNvPicPr>
                  </pic:nvPicPr>
                  <pic:blipFill>
                    <a:blip r:embed="rId4"/>
                    <a:stretch>
                      <a:fillRect/>
                    </a:stretch>
                  </pic:blipFill>
                  <pic:spPr bwMode="auto">
                    <a:xfrm>
                      <a:off x="0" y="0"/>
                      <a:ext cx="2956560" cy="4297045"/>
                    </a:xfrm>
                    <a:prstGeom prst="rect">
                      <a:avLst/>
                    </a:prstGeom>
                  </pic:spPr>
                </pic:pic>
              </a:graphicData>
            </a:graphic>
          </wp:inline>
        </w:drawing>
      </w:r>
    </w:p>
    <w:p>
      <w:pPr>
        <w:pStyle w:val="Normal"/>
        <w:suppressAutoHyphens w:val="false"/>
        <w:rPr>
          <w:b/>
          <w:bCs/>
          <w:sz w:val="22"/>
          <w:szCs w:val="20"/>
          <w:lang w:eastAsia="it-IT"/>
        </w:rPr>
      </w:pPr>
      <w:r>
        <w:rPr>
          <w:b/>
          <w:bCs/>
          <w:sz w:val="22"/>
          <w:szCs w:val="20"/>
          <w:lang w:eastAsia="it-IT"/>
        </w:rPr>
      </w:r>
    </w:p>
    <w:p>
      <w:pPr>
        <w:pStyle w:val="Heading1"/>
        <w:numPr>
          <w:ilvl w:val="0"/>
          <w:numId w:val="1"/>
        </w:numPr>
        <w:rPr>
          <w:rFonts w:ascii="Arial" w:hAnsi="Arial" w:cs="Arial"/>
          <w:sz w:val="20"/>
        </w:rPr>
      </w:pPr>
      <w:bookmarkStart w:id="16" w:name="__RefHeading__18012_1831176500"/>
      <w:bookmarkStart w:id="17" w:name="_Toc172196610"/>
      <w:bookmarkEnd w:id="16"/>
      <w:r>
        <w:rPr>
          <w:rFonts w:cs="Arial" w:ascii="Arial" w:hAnsi="Arial"/>
          <w:sz w:val="20"/>
        </w:rPr>
        <w:t>VALUTAZIONE DEL NUMERO STIMATO DI PERSONE ESPOSTE AL RUMORE, INDIVIDUAZIONE DEI PROBLEMI E DELLE SITUAZIONI DA MIGLIORARE - Requisito di cui all. 5 D.Lgs. 194/2005 lett.f)</w:t>
      </w:r>
      <w:bookmarkEnd w:id="17"/>
    </w:p>
    <w:p>
      <w:pPr>
        <w:pStyle w:val="Standard"/>
        <w:jc w:val="both"/>
        <w:rPr>
          <w:rFonts w:ascii="Arial" w:hAnsi="Arial"/>
          <w:sz w:val="12"/>
          <w:szCs w:val="20"/>
        </w:rPr>
      </w:pPr>
      <w:r>
        <w:rPr>
          <w:rFonts w:ascii="Arial" w:hAnsi="Arial"/>
          <w:sz w:val="12"/>
          <w:szCs w:val="20"/>
        </w:rPr>
      </w:r>
    </w:p>
    <w:p>
      <w:pPr>
        <w:pStyle w:val="Standard"/>
        <w:jc w:val="both"/>
        <w:rPr>
          <w:rFonts w:ascii="Arial" w:hAnsi="Arial" w:eastAsia="Mangal"/>
          <w:sz w:val="18"/>
          <w:szCs w:val="20"/>
          <w:lang w:eastAsia="hi-IN"/>
        </w:rPr>
      </w:pPr>
      <w:r>
        <w:rPr>
          <w:rFonts w:eastAsia="Mangal" w:ascii="Arial" w:hAnsi="Arial"/>
          <w:sz w:val="18"/>
          <w:szCs w:val="20"/>
          <w:lang w:eastAsia="hi-IN"/>
        </w:rPr>
        <w:t>Dalla mappa acustica strategica si evince la seguente situazione.</w:t>
      </w:r>
    </w:p>
    <w:p>
      <w:pPr>
        <w:pStyle w:val="Standard"/>
        <w:jc w:val="both"/>
        <w:rPr>
          <w:rFonts w:ascii="Arial" w:hAnsi="Arial" w:eastAsia="Mangal"/>
          <w:sz w:val="18"/>
          <w:szCs w:val="20"/>
          <w:lang w:eastAsia="hi-IN"/>
        </w:rPr>
      </w:pPr>
      <w:r>
        <w:rPr/>
        <w:drawing>
          <wp:inline distT="0" distB="0" distL="0" distR="0">
            <wp:extent cx="4295775" cy="2532380"/>
            <wp:effectExtent l="0" t="0" r="0" b="0"/>
            <wp:docPr id="4" name="Immagine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
                    <pic:cNvPicPr>
                      <a:picLocks noChangeAspect="1" noChangeArrowheads="1"/>
                    </pic:cNvPicPr>
                  </pic:nvPicPr>
                  <pic:blipFill>
                    <a:blip r:embed="rId5"/>
                    <a:stretch>
                      <a:fillRect/>
                    </a:stretch>
                  </pic:blipFill>
                  <pic:spPr bwMode="auto">
                    <a:xfrm>
                      <a:off x="0" y="0"/>
                      <a:ext cx="4295775" cy="2532380"/>
                    </a:xfrm>
                    <a:prstGeom prst="rect">
                      <a:avLst/>
                    </a:prstGeom>
                  </pic:spPr>
                </pic:pic>
              </a:graphicData>
            </a:graphic>
          </wp:inline>
        </w:drawing>
      </w:r>
    </w:p>
    <w:p>
      <w:pPr>
        <w:pStyle w:val="Standard"/>
        <w:jc w:val="both"/>
        <w:rPr>
          <w:rFonts w:ascii="Arial" w:hAnsi="Arial" w:eastAsia="Mangal"/>
          <w:sz w:val="18"/>
          <w:szCs w:val="20"/>
          <w:lang w:eastAsia="hi-IN"/>
        </w:rPr>
      </w:pPr>
      <w:r>
        <w:rPr>
          <w:rFonts w:eastAsia="Mangal" w:ascii="Arial" w:hAnsi="Arial"/>
          <w:sz w:val="18"/>
          <w:szCs w:val="20"/>
          <w:lang w:eastAsia="hi-IN"/>
        </w:rPr>
      </w:r>
    </w:p>
    <w:p>
      <w:pPr>
        <w:pStyle w:val="Standard"/>
        <w:jc w:val="both"/>
        <w:rPr>
          <w:rFonts w:ascii="Arial" w:hAnsi="Arial" w:eastAsia="Mangal"/>
          <w:sz w:val="18"/>
          <w:szCs w:val="20"/>
          <w:lang w:eastAsia="hi-IN"/>
        </w:rPr>
      </w:pPr>
      <w:r>
        <w:rPr/>
        <w:drawing>
          <wp:inline distT="0" distB="0" distL="0" distR="0">
            <wp:extent cx="4095750" cy="2599055"/>
            <wp:effectExtent l="0" t="0" r="0" b="0"/>
            <wp:docPr id="5" name="Immagine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3" descr=""/>
                    <pic:cNvPicPr>
                      <a:picLocks noChangeAspect="1" noChangeArrowheads="1"/>
                    </pic:cNvPicPr>
                  </pic:nvPicPr>
                  <pic:blipFill>
                    <a:blip r:embed="rId6"/>
                    <a:stretch>
                      <a:fillRect/>
                    </a:stretch>
                  </pic:blipFill>
                  <pic:spPr bwMode="auto">
                    <a:xfrm>
                      <a:off x="0" y="0"/>
                      <a:ext cx="4095750" cy="2599055"/>
                    </a:xfrm>
                    <a:prstGeom prst="rect">
                      <a:avLst/>
                    </a:prstGeom>
                  </pic:spPr>
                </pic:pic>
              </a:graphicData>
            </a:graphic>
          </wp:inline>
        </w:drawing>
      </w:r>
    </w:p>
    <w:p>
      <w:pPr>
        <w:pStyle w:val="Normal"/>
        <w:spacing w:lineRule="auto" w:line="360" w:beforeAutospacing="1" w:after="120"/>
        <w:jc w:val="both"/>
        <w:rPr>
          <w:rFonts w:ascii="Arial" w:hAnsi="Arial" w:cs="Arial"/>
          <w:sz w:val="18"/>
          <w:szCs w:val="18"/>
          <w:lang w:eastAsia="it-IT"/>
        </w:rPr>
      </w:pPr>
      <w:r>
        <w:rPr>
          <w:rFonts w:cs="Arial" w:ascii="Arial" w:hAnsi="Arial"/>
          <w:sz w:val="18"/>
          <w:szCs w:val="18"/>
          <w:lang w:eastAsia="it-IT"/>
        </w:rPr>
        <w:t>Da quanto esposto in precedenza si rileva che la percentuale di popolazione esposta a livelli sonori superiori alle soglie di potenziale rischio definite a livello internazionale, fissate in un valore di 65 dB(A) di Lden e 55 dB(A) di Lnight è costituita dal traffico veicolare, responsabile per quasi il 99% dell’esposizione della popolazione a Lden &gt; 65 dB(A) e circa il 99 % della popolazione esposta a livelli Lnight &gt; 55 dB(A), mentre la percentuale di popolazione esposta alle altre sorgenti risulta essere inferiore al 1% del totale.</w:t>
      </w:r>
    </w:p>
    <w:p>
      <w:pPr>
        <w:pStyle w:val="Normal"/>
        <w:spacing w:lineRule="auto" w:line="360" w:beforeAutospacing="1" w:after="120"/>
        <w:jc w:val="both"/>
        <w:rPr>
          <w:rFonts w:ascii="Arial" w:hAnsi="Arial" w:cs="Arial"/>
          <w:sz w:val="18"/>
          <w:szCs w:val="18"/>
          <w:lang w:eastAsia="it-IT"/>
        </w:rPr>
      </w:pPr>
      <w:r>
        <w:rPr>
          <w:rFonts w:cs="Arial" w:ascii="Arial" w:hAnsi="Arial"/>
          <w:sz w:val="18"/>
          <w:szCs w:val="18"/>
          <w:lang w:eastAsia="it-IT"/>
        </w:rPr>
        <w:t>In riferimento alle stime, elaborate nelle precedenti fasi di attuazione della Direttiva 2002/49/CE (piano d'azione 2018), si rileva una diminuzione dell'esposizione al rumore, prodotto dal traffico veicolare, dei residenti nell'Agglomerato in riferimento alle soglie critiche, di circa 10 punti percentuale nell'arco della giornata e 25 punti percentuali nel periodo notturno.</w:t>
      </w:r>
    </w:p>
    <w:p>
      <w:pPr>
        <w:pStyle w:val="Normal"/>
        <w:spacing w:lineRule="auto" w:line="360" w:beforeAutospacing="1" w:after="120"/>
        <w:jc w:val="both"/>
        <w:rPr>
          <w:rFonts w:ascii="Arial" w:hAnsi="Arial" w:cs="Arial"/>
          <w:sz w:val="18"/>
          <w:szCs w:val="18"/>
          <w:lang w:eastAsia="it-IT"/>
        </w:rPr>
      </w:pPr>
      <w:r>
        <w:rPr>
          <w:rFonts w:cs="Arial" w:ascii="Arial" w:hAnsi="Arial"/>
          <w:sz w:val="18"/>
          <w:szCs w:val="18"/>
          <w:lang w:eastAsia="it-IT"/>
        </w:rPr>
        <w:t>Per un'esame più approfondito, delle aree critiche, individuate in riferimento ai limiti in vigore ai sensi della L. 447/1995, al fine di non eccedere il numero di schede prescritto dalla Direttiva 2002/49/CE in questa sintesi, si rimanda alla lettura del cap. I) § 6.1.10  della Relazione Tecnica Generale, che contiene un'elenco tabellare e grafico delle aree individuate e delle priorità d'intervento. I dati della popolazione esposta e dei valori incrociati di criticità tra superamento limiti, popolazione e tipologia di recettore (non solo il superamento) sono stati estrapolati dalla mappatura acustica del 2022 che nasce da un modello 3D del territorio mappato che tiene conto degli ostacoli (fisici e orografici) alla propagazione del rumore.</w:t>
      </w:r>
    </w:p>
    <w:p>
      <w:pPr>
        <w:pStyle w:val="Standard"/>
        <w:jc w:val="both"/>
        <w:rPr>
          <w:rFonts w:ascii="Arial" w:hAnsi="Arial" w:eastAsia="Mangal"/>
          <w:sz w:val="18"/>
          <w:szCs w:val="20"/>
          <w:lang w:eastAsia="hi-IN"/>
        </w:rPr>
      </w:pPr>
      <w:r>
        <w:rPr>
          <w:rFonts w:eastAsia="Mangal" w:ascii="Arial" w:hAnsi="Arial"/>
          <w:sz w:val="18"/>
          <w:szCs w:val="20"/>
          <w:lang w:eastAsia="hi-IN"/>
        </w:rPr>
        <w:t>Si riportano, come estrema sintesi, le tabelle con le aree critiche individuate e i relativi indici di criticità.</w:t>
      </w:r>
    </w:p>
    <w:p>
      <w:pPr>
        <w:pStyle w:val="Normal"/>
        <w:rPr>
          <w:b/>
          <w:sz w:val="16"/>
          <w:szCs w:val="18"/>
        </w:rPr>
      </w:pPr>
      <w:r>
        <w:rPr>
          <w:b/>
          <w:sz w:val="16"/>
          <w:szCs w:val="18"/>
        </w:rPr>
      </w:r>
    </w:p>
    <w:p>
      <w:pPr>
        <w:pStyle w:val="Normal"/>
        <w:rPr>
          <w:rFonts w:ascii="Arial" w:hAnsi="Arial" w:cs="Arial"/>
          <w:b/>
          <w:sz w:val="16"/>
          <w:szCs w:val="18"/>
        </w:rPr>
      </w:pPr>
      <w:r>
        <w:rPr>
          <w:rFonts w:cs="Arial" w:ascii="Arial" w:hAnsi="Arial"/>
          <w:b/>
          <w:sz w:val="16"/>
          <w:szCs w:val="18"/>
        </w:rPr>
        <w:t>Tabella riepilogo aree critiche diurne per comune</w:t>
      </w:r>
    </w:p>
    <w:tbl>
      <w:tblPr>
        <w:tblW w:w="9232"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1980"/>
        <w:gridCol w:w="1576"/>
        <w:gridCol w:w="1177"/>
        <w:gridCol w:w="1181"/>
        <w:gridCol w:w="994"/>
        <w:gridCol w:w="1363"/>
        <w:gridCol w:w="960"/>
      </w:tblGrid>
      <w:tr>
        <w:trPr>
          <w:trHeight w:val="300" w:hRule="atLeast"/>
        </w:trPr>
        <w:tc>
          <w:tcPr>
            <w:tcW w:w="1980" w:type="dxa"/>
            <w:tcBorders>
              <w:top w:val="single" w:sz="4" w:space="0" w:color="70AD47"/>
              <w:left w:val="single" w:sz="4" w:space="0" w:color="70AD47"/>
              <w:bottom w:val="single" w:sz="4" w:space="0" w:color="70AD47"/>
            </w:tcBorders>
            <w:shd w:color="auto" w:fill="70AD47" w:val="clear"/>
            <w:vAlign w:val="center"/>
          </w:tcPr>
          <w:p>
            <w:pPr>
              <w:pStyle w:val="Normal"/>
              <w:suppressAutoHyphens w:val="false"/>
              <w:jc w:val="center"/>
              <w:rPr>
                <w:rFonts w:ascii="Arial" w:hAnsi="Arial" w:cs="Arial"/>
                <w:b/>
                <w:bCs/>
                <w:color w:val="000000"/>
                <w:sz w:val="14"/>
                <w:szCs w:val="16"/>
                <w:lang w:eastAsia="it-IT"/>
              </w:rPr>
            </w:pPr>
            <w:r>
              <w:rPr>
                <w:rFonts w:cs="Arial" w:ascii="Arial" w:hAnsi="Arial"/>
                <w:b/>
                <w:bCs/>
                <w:color w:val="000000"/>
                <w:sz w:val="14"/>
                <w:szCs w:val="16"/>
                <w:lang w:eastAsia="it-IT"/>
              </w:rPr>
              <w:t>Comune</w:t>
            </w:r>
          </w:p>
        </w:tc>
        <w:tc>
          <w:tcPr>
            <w:tcW w:w="1576" w:type="dxa"/>
            <w:tcBorders>
              <w:top w:val="single" w:sz="4" w:space="0" w:color="70AD47"/>
              <w:bottom w:val="single" w:sz="4" w:space="0" w:color="70AD47"/>
            </w:tcBorders>
            <w:shd w:color="auto" w:fill="70AD47" w:val="clear"/>
            <w:vAlign w:val="center"/>
          </w:tcPr>
          <w:p>
            <w:pPr>
              <w:pStyle w:val="Normal"/>
              <w:suppressAutoHyphens w:val="false"/>
              <w:jc w:val="center"/>
              <w:rPr>
                <w:rFonts w:ascii="Arial" w:hAnsi="Arial" w:cs="Arial"/>
                <w:b/>
                <w:bCs/>
                <w:color w:val="000000"/>
                <w:sz w:val="14"/>
                <w:szCs w:val="16"/>
                <w:lang w:eastAsia="it-IT"/>
              </w:rPr>
            </w:pPr>
            <w:r>
              <w:rPr>
                <w:rFonts w:cs="Arial" w:ascii="Arial" w:hAnsi="Arial"/>
                <w:b/>
                <w:bCs/>
                <w:color w:val="000000"/>
                <w:sz w:val="14"/>
                <w:szCs w:val="16"/>
                <w:lang w:eastAsia="it-IT"/>
              </w:rPr>
              <w:t>Denominazione</w:t>
            </w:r>
          </w:p>
        </w:tc>
        <w:tc>
          <w:tcPr>
            <w:tcW w:w="1177" w:type="dxa"/>
            <w:tcBorders>
              <w:top w:val="single" w:sz="4" w:space="0" w:color="70AD47"/>
              <w:bottom w:val="single" w:sz="4" w:space="0" w:color="70AD47"/>
            </w:tcBorders>
            <w:shd w:color="auto" w:fill="70AD47" w:val="clear"/>
            <w:vAlign w:val="center"/>
          </w:tcPr>
          <w:p>
            <w:pPr>
              <w:pStyle w:val="Normal"/>
              <w:suppressAutoHyphens w:val="false"/>
              <w:jc w:val="center"/>
              <w:rPr>
                <w:rFonts w:ascii="Arial" w:hAnsi="Arial" w:cs="Arial"/>
                <w:b/>
                <w:bCs/>
                <w:color w:val="000000"/>
                <w:sz w:val="14"/>
                <w:szCs w:val="16"/>
                <w:lang w:eastAsia="it-IT"/>
              </w:rPr>
            </w:pPr>
            <w:r>
              <w:rPr>
                <w:rFonts w:cs="Arial" w:ascii="Arial" w:hAnsi="Arial"/>
                <w:b/>
                <w:bCs/>
                <w:color w:val="000000"/>
                <w:sz w:val="14"/>
                <w:szCs w:val="16"/>
                <w:lang w:eastAsia="it-IT"/>
              </w:rPr>
              <w:t>Superficie</w:t>
            </w:r>
          </w:p>
        </w:tc>
        <w:tc>
          <w:tcPr>
            <w:tcW w:w="1181" w:type="dxa"/>
            <w:tcBorders>
              <w:top w:val="single" w:sz="4" w:space="0" w:color="70AD47"/>
              <w:bottom w:val="single" w:sz="4" w:space="0" w:color="70AD47"/>
            </w:tcBorders>
            <w:shd w:color="auto" w:fill="70AD47" w:val="clear"/>
            <w:vAlign w:val="center"/>
          </w:tcPr>
          <w:p>
            <w:pPr>
              <w:pStyle w:val="Normal"/>
              <w:suppressAutoHyphens w:val="false"/>
              <w:jc w:val="center"/>
              <w:rPr>
                <w:rFonts w:ascii="Arial" w:hAnsi="Arial" w:cs="Arial"/>
                <w:b/>
                <w:bCs/>
                <w:color w:val="000000"/>
                <w:sz w:val="14"/>
                <w:szCs w:val="16"/>
                <w:lang w:eastAsia="it-IT"/>
              </w:rPr>
            </w:pPr>
            <w:r>
              <w:rPr>
                <w:rFonts w:cs="Arial" w:ascii="Arial" w:hAnsi="Arial"/>
                <w:b/>
                <w:bCs/>
                <w:color w:val="000000"/>
                <w:sz w:val="14"/>
                <w:szCs w:val="16"/>
                <w:lang w:eastAsia="it-IT"/>
              </w:rPr>
              <w:t>Popolazione</w:t>
            </w:r>
          </w:p>
        </w:tc>
        <w:tc>
          <w:tcPr>
            <w:tcW w:w="994" w:type="dxa"/>
            <w:tcBorders>
              <w:top w:val="single" w:sz="4" w:space="0" w:color="70AD47"/>
              <w:bottom w:val="single" w:sz="4" w:space="0" w:color="70AD47"/>
            </w:tcBorders>
            <w:shd w:color="auto" w:fill="70AD47" w:val="clear"/>
            <w:vAlign w:val="center"/>
          </w:tcPr>
          <w:p>
            <w:pPr>
              <w:pStyle w:val="Normal"/>
              <w:suppressAutoHyphens w:val="false"/>
              <w:jc w:val="center"/>
              <w:rPr>
                <w:rFonts w:ascii="Arial" w:hAnsi="Arial" w:cs="Arial"/>
                <w:b/>
                <w:bCs/>
                <w:color w:val="000000"/>
                <w:sz w:val="14"/>
                <w:szCs w:val="16"/>
                <w:lang w:eastAsia="it-IT"/>
              </w:rPr>
            </w:pPr>
            <w:r>
              <w:rPr>
                <w:rFonts w:cs="Arial" w:ascii="Arial" w:hAnsi="Arial"/>
                <w:b/>
                <w:bCs/>
                <w:color w:val="000000"/>
                <w:sz w:val="14"/>
                <w:szCs w:val="16"/>
                <w:lang w:eastAsia="it-IT"/>
              </w:rPr>
              <w:t>LDen dB(A)</w:t>
            </w:r>
          </w:p>
        </w:tc>
        <w:tc>
          <w:tcPr>
            <w:tcW w:w="1363" w:type="dxa"/>
            <w:tcBorders>
              <w:top w:val="single" w:sz="4" w:space="0" w:color="70AD47"/>
              <w:bottom w:val="single" w:sz="4" w:space="0" w:color="70AD47"/>
            </w:tcBorders>
            <w:shd w:color="auto" w:fill="70AD47" w:val="clear"/>
            <w:vAlign w:val="center"/>
          </w:tcPr>
          <w:p>
            <w:pPr>
              <w:pStyle w:val="Normal"/>
              <w:suppressAutoHyphens w:val="false"/>
              <w:jc w:val="center"/>
              <w:rPr>
                <w:rFonts w:ascii="Arial" w:hAnsi="Arial" w:cs="Arial"/>
                <w:b/>
                <w:bCs/>
                <w:color w:val="000000"/>
                <w:sz w:val="14"/>
                <w:szCs w:val="16"/>
                <w:lang w:eastAsia="it-IT"/>
              </w:rPr>
            </w:pPr>
            <w:r>
              <w:rPr>
                <w:rFonts w:cs="Arial" w:ascii="Arial" w:hAnsi="Arial"/>
                <w:b/>
                <w:bCs/>
                <w:color w:val="000000"/>
                <w:sz w:val="14"/>
                <w:szCs w:val="16"/>
                <w:lang w:eastAsia="it-IT"/>
              </w:rPr>
              <w:t>Indice_Criticità</w:t>
            </w:r>
          </w:p>
        </w:tc>
        <w:tc>
          <w:tcPr>
            <w:tcW w:w="960" w:type="dxa"/>
            <w:tcBorders>
              <w:top w:val="single" w:sz="4" w:space="0" w:color="70AD47"/>
              <w:bottom w:val="single" w:sz="4" w:space="0" w:color="70AD47"/>
              <w:right w:val="single" w:sz="4" w:space="0" w:color="70AD47"/>
            </w:tcBorders>
            <w:shd w:color="auto" w:fill="70AD47" w:val="clear"/>
            <w:vAlign w:val="center"/>
          </w:tcPr>
          <w:p>
            <w:pPr>
              <w:pStyle w:val="Normal"/>
              <w:suppressAutoHyphens w:val="false"/>
              <w:jc w:val="center"/>
              <w:rPr>
                <w:rFonts w:ascii="Arial" w:hAnsi="Arial" w:cs="Arial"/>
                <w:b/>
                <w:bCs/>
                <w:color w:val="000000"/>
                <w:sz w:val="14"/>
                <w:szCs w:val="16"/>
                <w:lang w:eastAsia="it-IT"/>
              </w:rPr>
            </w:pPr>
            <w:r>
              <w:rPr>
                <w:rFonts w:cs="Arial" w:ascii="Arial" w:hAnsi="Arial"/>
                <w:b/>
                <w:bCs/>
                <w:color w:val="000000"/>
                <w:sz w:val="14"/>
                <w:szCs w:val="16"/>
                <w:lang w:eastAsia="it-IT"/>
              </w:rPr>
              <w:t>Rischio</w:t>
            </w:r>
          </w:p>
        </w:tc>
      </w:tr>
      <w:tr>
        <w:trPr>
          <w:trHeight w:val="300" w:hRule="atLeast"/>
        </w:trPr>
        <w:tc>
          <w:tcPr>
            <w:tcW w:w="1980"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rPr>
                <w:rFonts w:ascii="Arial" w:hAnsi="Arial" w:cs="Arial"/>
                <w:b/>
                <w:bCs/>
                <w:color w:val="000000"/>
                <w:sz w:val="14"/>
                <w:szCs w:val="16"/>
                <w:lang w:eastAsia="it-IT"/>
              </w:rPr>
            </w:pPr>
            <w:r>
              <w:rPr>
                <w:rFonts w:cs="Arial" w:ascii="Arial" w:hAnsi="Arial"/>
                <w:b/>
                <w:bCs/>
                <w:color w:val="000000"/>
                <w:sz w:val="14"/>
                <w:szCs w:val="16"/>
                <w:lang w:eastAsia="it-IT"/>
              </w:rPr>
              <w:t>Assemini</w:t>
            </w:r>
          </w:p>
        </w:tc>
        <w:tc>
          <w:tcPr>
            <w:tcW w:w="1576"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bCs/>
                <w:color w:val="000000"/>
                <w:sz w:val="14"/>
                <w:szCs w:val="16"/>
                <w:lang w:eastAsia="it-IT"/>
              </w:rPr>
            </w:pPr>
            <w:r>
              <w:rPr>
                <w:rFonts w:cs="Arial" w:ascii="Arial" w:hAnsi="Arial"/>
                <w:bCs/>
                <w:color w:val="000000"/>
                <w:sz w:val="14"/>
                <w:szCs w:val="16"/>
                <w:lang w:eastAsia="it-IT"/>
              </w:rPr>
              <w:t>ASSEMINI1 AC</w:t>
            </w:r>
          </w:p>
        </w:tc>
        <w:tc>
          <w:tcPr>
            <w:tcW w:w="1177"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3549</w:t>
            </w:r>
          </w:p>
        </w:tc>
        <w:tc>
          <w:tcPr>
            <w:tcW w:w="1181"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407</w:t>
            </w:r>
          </w:p>
        </w:tc>
        <w:tc>
          <w:tcPr>
            <w:tcW w:w="994"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79</w:t>
            </w:r>
          </w:p>
        </w:tc>
        <w:tc>
          <w:tcPr>
            <w:tcW w:w="1363"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7011</w:t>
            </w:r>
          </w:p>
        </w:tc>
        <w:tc>
          <w:tcPr>
            <w:tcW w:w="960"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BASSO</w:t>
            </w:r>
          </w:p>
        </w:tc>
      </w:tr>
      <w:tr>
        <w:trPr>
          <w:trHeight w:val="300" w:hRule="atLeast"/>
        </w:trPr>
        <w:tc>
          <w:tcPr>
            <w:tcW w:w="1980"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rPr>
                <w:rFonts w:ascii="Arial" w:hAnsi="Arial" w:cs="Arial"/>
                <w:b/>
                <w:bCs/>
                <w:color w:val="000000"/>
                <w:sz w:val="14"/>
                <w:szCs w:val="16"/>
                <w:lang w:eastAsia="it-IT"/>
              </w:rPr>
            </w:pPr>
            <w:r>
              <w:rPr>
                <w:rFonts w:cs="Arial" w:ascii="Arial" w:hAnsi="Arial"/>
                <w:b/>
                <w:bCs/>
                <w:color w:val="000000"/>
                <w:sz w:val="14"/>
                <w:szCs w:val="16"/>
                <w:lang w:eastAsia="it-IT"/>
              </w:rPr>
              <w:t>Assemini</w:t>
            </w:r>
          </w:p>
        </w:tc>
        <w:tc>
          <w:tcPr>
            <w:tcW w:w="1576"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bCs/>
                <w:color w:val="000000"/>
                <w:sz w:val="14"/>
                <w:szCs w:val="16"/>
                <w:lang w:eastAsia="it-IT"/>
              </w:rPr>
            </w:pPr>
            <w:r>
              <w:rPr>
                <w:rFonts w:cs="Arial" w:ascii="Arial" w:hAnsi="Arial"/>
                <w:bCs/>
                <w:color w:val="000000"/>
                <w:sz w:val="14"/>
                <w:szCs w:val="16"/>
                <w:lang w:eastAsia="it-IT"/>
              </w:rPr>
              <w:t>ASSEMINI2 AC</w:t>
            </w:r>
          </w:p>
        </w:tc>
        <w:tc>
          <w:tcPr>
            <w:tcW w:w="1177"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10065</w:t>
            </w:r>
          </w:p>
        </w:tc>
        <w:tc>
          <w:tcPr>
            <w:tcW w:w="1181"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188</w:t>
            </w:r>
          </w:p>
        </w:tc>
        <w:tc>
          <w:tcPr>
            <w:tcW w:w="994"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78</w:t>
            </w:r>
          </w:p>
        </w:tc>
        <w:tc>
          <w:tcPr>
            <w:tcW w:w="1363"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3284</w:t>
            </w:r>
          </w:p>
        </w:tc>
        <w:tc>
          <w:tcPr>
            <w:tcW w:w="960"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BASSO</w:t>
            </w:r>
          </w:p>
        </w:tc>
      </w:tr>
      <w:tr>
        <w:trPr>
          <w:trHeight w:val="300" w:hRule="atLeast"/>
        </w:trPr>
        <w:tc>
          <w:tcPr>
            <w:tcW w:w="1980"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rPr>
                <w:rFonts w:ascii="Arial" w:hAnsi="Arial" w:cs="Arial"/>
                <w:b/>
                <w:bCs/>
                <w:color w:val="000000"/>
                <w:sz w:val="14"/>
                <w:szCs w:val="16"/>
                <w:lang w:eastAsia="it-IT"/>
              </w:rPr>
            </w:pPr>
            <w:r>
              <w:rPr>
                <w:rFonts w:cs="Arial" w:ascii="Arial" w:hAnsi="Arial"/>
                <w:b/>
                <w:bCs/>
                <w:color w:val="000000"/>
                <w:sz w:val="14"/>
                <w:szCs w:val="16"/>
                <w:lang w:eastAsia="it-IT"/>
              </w:rPr>
              <w:t>Assemini</w:t>
            </w:r>
          </w:p>
        </w:tc>
        <w:tc>
          <w:tcPr>
            <w:tcW w:w="1576"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bCs/>
                <w:color w:val="000000"/>
                <w:sz w:val="14"/>
                <w:szCs w:val="16"/>
                <w:lang w:eastAsia="it-IT"/>
              </w:rPr>
            </w:pPr>
            <w:r>
              <w:rPr>
                <w:rFonts w:cs="Arial" w:ascii="Arial" w:hAnsi="Arial"/>
                <w:bCs/>
                <w:color w:val="000000"/>
                <w:sz w:val="14"/>
                <w:szCs w:val="16"/>
                <w:lang w:eastAsia="it-IT"/>
              </w:rPr>
              <w:t>ASSEMINI3 AC</w:t>
            </w:r>
          </w:p>
        </w:tc>
        <w:tc>
          <w:tcPr>
            <w:tcW w:w="1177"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11029</w:t>
            </w:r>
          </w:p>
        </w:tc>
        <w:tc>
          <w:tcPr>
            <w:tcW w:w="1181"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234</w:t>
            </w:r>
          </w:p>
        </w:tc>
        <w:tc>
          <w:tcPr>
            <w:tcW w:w="994"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74</w:t>
            </w:r>
          </w:p>
        </w:tc>
        <w:tc>
          <w:tcPr>
            <w:tcW w:w="1363"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4335</w:t>
            </w:r>
          </w:p>
        </w:tc>
        <w:tc>
          <w:tcPr>
            <w:tcW w:w="960"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BASSO</w:t>
            </w:r>
          </w:p>
        </w:tc>
      </w:tr>
      <w:tr>
        <w:trPr>
          <w:trHeight w:val="300" w:hRule="atLeast"/>
        </w:trPr>
        <w:tc>
          <w:tcPr>
            <w:tcW w:w="1980"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rPr>
                <w:rFonts w:ascii="Arial" w:hAnsi="Arial" w:cs="Arial"/>
                <w:b/>
                <w:bCs/>
                <w:color w:val="000000"/>
                <w:sz w:val="14"/>
                <w:szCs w:val="16"/>
                <w:lang w:eastAsia="it-IT"/>
              </w:rPr>
            </w:pPr>
            <w:r>
              <w:rPr>
                <w:rFonts w:cs="Arial" w:ascii="Arial" w:hAnsi="Arial"/>
                <w:b/>
                <w:bCs/>
                <w:color w:val="000000"/>
                <w:sz w:val="14"/>
                <w:szCs w:val="16"/>
                <w:lang w:eastAsia="it-IT"/>
              </w:rPr>
              <w:t>Assemini</w:t>
            </w:r>
          </w:p>
        </w:tc>
        <w:tc>
          <w:tcPr>
            <w:tcW w:w="1576"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bCs/>
                <w:color w:val="000000"/>
                <w:sz w:val="14"/>
                <w:szCs w:val="16"/>
                <w:lang w:eastAsia="it-IT"/>
              </w:rPr>
            </w:pPr>
            <w:r>
              <w:rPr>
                <w:rFonts w:cs="Arial" w:ascii="Arial" w:hAnsi="Arial"/>
                <w:bCs/>
                <w:color w:val="000000"/>
                <w:sz w:val="14"/>
                <w:szCs w:val="16"/>
                <w:lang w:eastAsia="it-IT"/>
              </w:rPr>
              <w:t>ASSEMINI4 AC</w:t>
            </w:r>
          </w:p>
        </w:tc>
        <w:tc>
          <w:tcPr>
            <w:tcW w:w="1177"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2163</w:t>
            </w:r>
          </w:p>
        </w:tc>
        <w:tc>
          <w:tcPr>
            <w:tcW w:w="1181"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168</w:t>
            </w:r>
          </w:p>
        </w:tc>
        <w:tc>
          <w:tcPr>
            <w:tcW w:w="994"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75</w:t>
            </w:r>
          </w:p>
        </w:tc>
        <w:tc>
          <w:tcPr>
            <w:tcW w:w="1363"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3102</w:t>
            </w:r>
          </w:p>
        </w:tc>
        <w:tc>
          <w:tcPr>
            <w:tcW w:w="960"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BASSO</w:t>
            </w:r>
          </w:p>
        </w:tc>
      </w:tr>
      <w:tr>
        <w:trPr>
          <w:trHeight w:val="300" w:hRule="atLeast"/>
        </w:trPr>
        <w:tc>
          <w:tcPr>
            <w:tcW w:w="1980"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rPr>
                <w:rFonts w:ascii="Arial" w:hAnsi="Arial" w:cs="Arial"/>
                <w:b/>
                <w:bCs/>
                <w:color w:val="000000"/>
                <w:sz w:val="14"/>
                <w:szCs w:val="16"/>
                <w:lang w:eastAsia="it-IT"/>
              </w:rPr>
            </w:pPr>
            <w:r>
              <w:rPr>
                <w:rFonts w:cs="Arial" w:ascii="Arial" w:hAnsi="Arial"/>
                <w:b/>
                <w:bCs/>
                <w:color w:val="000000"/>
                <w:sz w:val="14"/>
                <w:szCs w:val="16"/>
                <w:lang w:eastAsia="it-IT"/>
              </w:rPr>
              <w:t>Cagliari</w:t>
            </w:r>
          </w:p>
        </w:tc>
        <w:tc>
          <w:tcPr>
            <w:tcW w:w="1576"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bCs/>
                <w:color w:val="000000"/>
                <w:sz w:val="14"/>
                <w:szCs w:val="16"/>
                <w:lang w:eastAsia="it-IT"/>
              </w:rPr>
            </w:pPr>
            <w:r>
              <w:rPr>
                <w:rFonts w:cs="Arial" w:ascii="Arial" w:hAnsi="Arial"/>
                <w:bCs/>
                <w:color w:val="000000"/>
                <w:sz w:val="14"/>
                <w:szCs w:val="16"/>
                <w:lang w:eastAsia="it-IT"/>
              </w:rPr>
              <w:t>CAGLIARI1 AC</w:t>
            </w:r>
          </w:p>
        </w:tc>
        <w:tc>
          <w:tcPr>
            <w:tcW w:w="1177"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28033</w:t>
            </w:r>
          </w:p>
        </w:tc>
        <w:tc>
          <w:tcPr>
            <w:tcW w:w="1181"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2355</w:t>
            </w:r>
          </w:p>
        </w:tc>
        <w:tc>
          <w:tcPr>
            <w:tcW w:w="994"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75</w:t>
            </w:r>
          </w:p>
        </w:tc>
        <w:tc>
          <w:tcPr>
            <w:tcW w:w="1363"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29109</w:t>
            </w:r>
          </w:p>
        </w:tc>
        <w:tc>
          <w:tcPr>
            <w:tcW w:w="960"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ALTO</w:t>
            </w:r>
          </w:p>
        </w:tc>
      </w:tr>
      <w:tr>
        <w:trPr>
          <w:trHeight w:val="300" w:hRule="atLeast"/>
        </w:trPr>
        <w:tc>
          <w:tcPr>
            <w:tcW w:w="1980"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rPr>
                <w:rFonts w:ascii="Arial" w:hAnsi="Arial" w:cs="Arial"/>
                <w:b/>
                <w:bCs/>
                <w:color w:val="000000"/>
                <w:sz w:val="14"/>
                <w:szCs w:val="16"/>
                <w:lang w:eastAsia="it-IT"/>
              </w:rPr>
            </w:pPr>
            <w:r>
              <w:rPr>
                <w:rFonts w:cs="Arial" w:ascii="Arial" w:hAnsi="Arial"/>
                <w:b/>
                <w:bCs/>
                <w:color w:val="000000"/>
                <w:sz w:val="14"/>
                <w:szCs w:val="16"/>
                <w:lang w:eastAsia="it-IT"/>
              </w:rPr>
              <w:t>Cagliari</w:t>
            </w:r>
          </w:p>
        </w:tc>
        <w:tc>
          <w:tcPr>
            <w:tcW w:w="1576"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bCs/>
                <w:color w:val="000000"/>
                <w:sz w:val="14"/>
                <w:szCs w:val="16"/>
                <w:lang w:eastAsia="it-IT"/>
              </w:rPr>
            </w:pPr>
            <w:r>
              <w:rPr>
                <w:rFonts w:cs="Arial" w:ascii="Arial" w:hAnsi="Arial"/>
                <w:bCs/>
                <w:color w:val="000000"/>
                <w:sz w:val="14"/>
                <w:szCs w:val="16"/>
                <w:lang w:eastAsia="it-IT"/>
              </w:rPr>
              <w:t>CAGLIARI2 AC</w:t>
            </w:r>
          </w:p>
        </w:tc>
        <w:tc>
          <w:tcPr>
            <w:tcW w:w="1177"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27516</w:t>
            </w:r>
          </w:p>
        </w:tc>
        <w:tc>
          <w:tcPr>
            <w:tcW w:w="1181"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846</w:t>
            </w:r>
          </w:p>
        </w:tc>
        <w:tc>
          <w:tcPr>
            <w:tcW w:w="994"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77</w:t>
            </w:r>
          </w:p>
        </w:tc>
        <w:tc>
          <w:tcPr>
            <w:tcW w:w="1363"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12042</w:t>
            </w:r>
          </w:p>
        </w:tc>
        <w:tc>
          <w:tcPr>
            <w:tcW w:w="960"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MEDIO</w:t>
            </w:r>
          </w:p>
        </w:tc>
      </w:tr>
      <w:tr>
        <w:trPr>
          <w:trHeight w:val="300" w:hRule="atLeast"/>
        </w:trPr>
        <w:tc>
          <w:tcPr>
            <w:tcW w:w="1980"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rPr>
                <w:rFonts w:ascii="Arial" w:hAnsi="Arial" w:cs="Arial"/>
                <w:b/>
                <w:bCs/>
                <w:color w:val="000000"/>
                <w:sz w:val="14"/>
                <w:szCs w:val="16"/>
                <w:lang w:eastAsia="it-IT"/>
              </w:rPr>
            </w:pPr>
            <w:r>
              <w:rPr>
                <w:rFonts w:cs="Arial" w:ascii="Arial" w:hAnsi="Arial"/>
                <w:b/>
                <w:bCs/>
                <w:color w:val="000000"/>
                <w:sz w:val="14"/>
                <w:szCs w:val="16"/>
                <w:lang w:eastAsia="it-IT"/>
              </w:rPr>
              <w:t>Cagliari</w:t>
            </w:r>
          </w:p>
        </w:tc>
        <w:tc>
          <w:tcPr>
            <w:tcW w:w="1576"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bCs/>
                <w:color w:val="000000"/>
                <w:sz w:val="14"/>
                <w:szCs w:val="16"/>
                <w:lang w:eastAsia="it-IT"/>
              </w:rPr>
            </w:pPr>
            <w:r>
              <w:rPr>
                <w:rFonts w:cs="Arial" w:ascii="Arial" w:hAnsi="Arial"/>
                <w:bCs/>
                <w:color w:val="000000"/>
                <w:sz w:val="14"/>
                <w:szCs w:val="16"/>
                <w:lang w:eastAsia="it-IT"/>
              </w:rPr>
              <w:t>CAGLIARI3 AC</w:t>
            </w:r>
          </w:p>
        </w:tc>
        <w:tc>
          <w:tcPr>
            <w:tcW w:w="1177"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2595</w:t>
            </w:r>
          </w:p>
        </w:tc>
        <w:tc>
          <w:tcPr>
            <w:tcW w:w="1181"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275</w:t>
            </w:r>
          </w:p>
        </w:tc>
        <w:tc>
          <w:tcPr>
            <w:tcW w:w="994"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75</w:t>
            </w:r>
          </w:p>
        </w:tc>
        <w:tc>
          <w:tcPr>
            <w:tcW w:w="1363"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2924</w:t>
            </w:r>
          </w:p>
        </w:tc>
        <w:tc>
          <w:tcPr>
            <w:tcW w:w="960"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BASSO</w:t>
            </w:r>
          </w:p>
        </w:tc>
      </w:tr>
      <w:tr>
        <w:trPr>
          <w:trHeight w:val="300" w:hRule="atLeast"/>
        </w:trPr>
        <w:tc>
          <w:tcPr>
            <w:tcW w:w="1980"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rPr>
                <w:rFonts w:ascii="Arial" w:hAnsi="Arial" w:cs="Arial"/>
                <w:b/>
                <w:bCs/>
                <w:color w:val="000000"/>
                <w:sz w:val="14"/>
                <w:szCs w:val="16"/>
                <w:lang w:eastAsia="it-IT"/>
              </w:rPr>
            </w:pPr>
            <w:r>
              <w:rPr>
                <w:rFonts w:cs="Arial" w:ascii="Arial" w:hAnsi="Arial"/>
                <w:b/>
                <w:bCs/>
                <w:color w:val="000000"/>
                <w:sz w:val="14"/>
                <w:szCs w:val="16"/>
                <w:lang w:eastAsia="it-IT"/>
              </w:rPr>
              <w:t>Cagliari</w:t>
            </w:r>
          </w:p>
        </w:tc>
        <w:tc>
          <w:tcPr>
            <w:tcW w:w="1576"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bCs/>
                <w:color w:val="000000"/>
                <w:sz w:val="14"/>
                <w:szCs w:val="16"/>
                <w:lang w:eastAsia="it-IT"/>
              </w:rPr>
            </w:pPr>
            <w:r>
              <w:rPr>
                <w:rFonts w:cs="Arial" w:ascii="Arial" w:hAnsi="Arial"/>
                <w:bCs/>
                <w:color w:val="000000"/>
                <w:sz w:val="14"/>
                <w:szCs w:val="16"/>
                <w:lang w:eastAsia="it-IT"/>
              </w:rPr>
              <w:t>CAGLIARI4 AC</w:t>
            </w:r>
          </w:p>
        </w:tc>
        <w:tc>
          <w:tcPr>
            <w:tcW w:w="1177"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17277</w:t>
            </w:r>
          </w:p>
        </w:tc>
        <w:tc>
          <w:tcPr>
            <w:tcW w:w="1181"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750</w:t>
            </w:r>
          </w:p>
        </w:tc>
        <w:tc>
          <w:tcPr>
            <w:tcW w:w="994"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74</w:t>
            </w:r>
          </w:p>
        </w:tc>
        <w:tc>
          <w:tcPr>
            <w:tcW w:w="1363"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10527</w:t>
            </w:r>
          </w:p>
        </w:tc>
        <w:tc>
          <w:tcPr>
            <w:tcW w:w="960"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MEDIO</w:t>
            </w:r>
          </w:p>
        </w:tc>
      </w:tr>
      <w:tr>
        <w:trPr>
          <w:trHeight w:val="300" w:hRule="atLeast"/>
        </w:trPr>
        <w:tc>
          <w:tcPr>
            <w:tcW w:w="1980"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rPr>
                <w:rFonts w:ascii="Arial" w:hAnsi="Arial" w:cs="Arial"/>
                <w:b/>
                <w:bCs/>
                <w:color w:val="000000"/>
                <w:sz w:val="14"/>
                <w:szCs w:val="16"/>
                <w:lang w:eastAsia="it-IT"/>
              </w:rPr>
            </w:pPr>
            <w:r>
              <w:rPr>
                <w:rFonts w:cs="Arial" w:ascii="Arial" w:hAnsi="Arial"/>
                <w:b/>
                <w:bCs/>
                <w:color w:val="000000"/>
                <w:sz w:val="14"/>
                <w:szCs w:val="16"/>
                <w:lang w:eastAsia="it-IT"/>
              </w:rPr>
              <w:t>Cagliari</w:t>
            </w:r>
          </w:p>
        </w:tc>
        <w:tc>
          <w:tcPr>
            <w:tcW w:w="1576"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bCs/>
                <w:color w:val="000000"/>
                <w:sz w:val="14"/>
                <w:szCs w:val="16"/>
                <w:lang w:eastAsia="it-IT"/>
              </w:rPr>
            </w:pPr>
            <w:r>
              <w:rPr>
                <w:rFonts w:cs="Arial" w:ascii="Arial" w:hAnsi="Arial"/>
                <w:bCs/>
                <w:color w:val="000000"/>
                <w:sz w:val="14"/>
                <w:szCs w:val="16"/>
                <w:lang w:eastAsia="it-IT"/>
              </w:rPr>
              <w:t>CAGLIARI5 AC</w:t>
            </w:r>
          </w:p>
        </w:tc>
        <w:tc>
          <w:tcPr>
            <w:tcW w:w="1177"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15123</w:t>
            </w:r>
          </w:p>
        </w:tc>
        <w:tc>
          <w:tcPr>
            <w:tcW w:w="1181"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1161</w:t>
            </w:r>
          </w:p>
        </w:tc>
        <w:tc>
          <w:tcPr>
            <w:tcW w:w="994"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79</w:t>
            </w:r>
          </w:p>
        </w:tc>
        <w:tc>
          <w:tcPr>
            <w:tcW w:w="1363"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13315</w:t>
            </w:r>
          </w:p>
        </w:tc>
        <w:tc>
          <w:tcPr>
            <w:tcW w:w="960"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MEDIO</w:t>
            </w:r>
          </w:p>
        </w:tc>
      </w:tr>
      <w:tr>
        <w:trPr>
          <w:trHeight w:val="300" w:hRule="atLeast"/>
        </w:trPr>
        <w:tc>
          <w:tcPr>
            <w:tcW w:w="1980"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rPr>
                <w:rFonts w:ascii="Arial" w:hAnsi="Arial" w:cs="Arial"/>
                <w:b/>
                <w:bCs/>
                <w:color w:val="000000"/>
                <w:sz w:val="14"/>
                <w:szCs w:val="16"/>
                <w:lang w:eastAsia="it-IT"/>
              </w:rPr>
            </w:pPr>
            <w:r>
              <w:rPr>
                <w:rFonts w:cs="Arial" w:ascii="Arial" w:hAnsi="Arial"/>
                <w:b/>
                <w:bCs/>
                <w:color w:val="000000"/>
                <w:sz w:val="14"/>
                <w:szCs w:val="16"/>
                <w:lang w:eastAsia="it-IT"/>
              </w:rPr>
              <w:t>Cagliari</w:t>
            </w:r>
          </w:p>
        </w:tc>
        <w:tc>
          <w:tcPr>
            <w:tcW w:w="1576"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bCs/>
                <w:color w:val="000000"/>
                <w:sz w:val="14"/>
                <w:szCs w:val="16"/>
                <w:lang w:eastAsia="it-IT"/>
              </w:rPr>
            </w:pPr>
            <w:r>
              <w:rPr>
                <w:rFonts w:cs="Arial" w:ascii="Arial" w:hAnsi="Arial"/>
                <w:bCs/>
                <w:color w:val="000000"/>
                <w:sz w:val="14"/>
                <w:szCs w:val="16"/>
                <w:lang w:eastAsia="it-IT"/>
              </w:rPr>
              <w:t>CAGLIARI6 AC</w:t>
            </w:r>
          </w:p>
        </w:tc>
        <w:tc>
          <w:tcPr>
            <w:tcW w:w="1177"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31851</w:t>
            </w:r>
          </w:p>
        </w:tc>
        <w:tc>
          <w:tcPr>
            <w:tcW w:w="1181"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1982</w:t>
            </w:r>
          </w:p>
        </w:tc>
        <w:tc>
          <w:tcPr>
            <w:tcW w:w="994"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76</w:t>
            </w:r>
          </w:p>
        </w:tc>
        <w:tc>
          <w:tcPr>
            <w:tcW w:w="1363"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17228</w:t>
            </w:r>
          </w:p>
        </w:tc>
        <w:tc>
          <w:tcPr>
            <w:tcW w:w="960"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MEDIO</w:t>
            </w:r>
          </w:p>
        </w:tc>
      </w:tr>
      <w:tr>
        <w:trPr>
          <w:trHeight w:val="300" w:hRule="atLeast"/>
        </w:trPr>
        <w:tc>
          <w:tcPr>
            <w:tcW w:w="1980"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rPr>
                <w:rFonts w:ascii="Arial" w:hAnsi="Arial" w:cs="Arial"/>
                <w:b/>
                <w:bCs/>
                <w:color w:val="000000"/>
                <w:sz w:val="14"/>
                <w:szCs w:val="16"/>
                <w:lang w:eastAsia="it-IT"/>
              </w:rPr>
            </w:pPr>
            <w:r>
              <w:rPr>
                <w:rFonts w:cs="Arial" w:ascii="Arial" w:hAnsi="Arial"/>
                <w:b/>
                <w:bCs/>
                <w:color w:val="000000"/>
                <w:sz w:val="14"/>
                <w:szCs w:val="16"/>
                <w:lang w:eastAsia="it-IT"/>
              </w:rPr>
              <w:t>Cagliari</w:t>
            </w:r>
          </w:p>
        </w:tc>
        <w:tc>
          <w:tcPr>
            <w:tcW w:w="1576"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bCs/>
                <w:color w:val="000000"/>
                <w:sz w:val="14"/>
                <w:szCs w:val="16"/>
                <w:lang w:eastAsia="it-IT"/>
              </w:rPr>
            </w:pPr>
            <w:r>
              <w:rPr>
                <w:rFonts w:cs="Arial" w:ascii="Arial" w:hAnsi="Arial"/>
                <w:bCs/>
                <w:color w:val="000000"/>
                <w:sz w:val="14"/>
                <w:szCs w:val="16"/>
                <w:lang w:eastAsia="it-IT"/>
              </w:rPr>
              <w:t>CAGLIARI7 AC</w:t>
            </w:r>
          </w:p>
        </w:tc>
        <w:tc>
          <w:tcPr>
            <w:tcW w:w="1177"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44347</w:t>
            </w:r>
          </w:p>
        </w:tc>
        <w:tc>
          <w:tcPr>
            <w:tcW w:w="1181"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1803</w:t>
            </w:r>
          </w:p>
        </w:tc>
        <w:tc>
          <w:tcPr>
            <w:tcW w:w="994"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74</w:t>
            </w:r>
          </w:p>
        </w:tc>
        <w:tc>
          <w:tcPr>
            <w:tcW w:w="1363"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22289</w:t>
            </w:r>
          </w:p>
        </w:tc>
        <w:tc>
          <w:tcPr>
            <w:tcW w:w="960"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ALTO</w:t>
            </w:r>
          </w:p>
        </w:tc>
      </w:tr>
      <w:tr>
        <w:trPr>
          <w:trHeight w:val="300" w:hRule="atLeast"/>
        </w:trPr>
        <w:tc>
          <w:tcPr>
            <w:tcW w:w="1980"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rPr>
                <w:rFonts w:ascii="Arial" w:hAnsi="Arial" w:cs="Arial"/>
                <w:b/>
                <w:bCs/>
                <w:color w:val="000000"/>
                <w:sz w:val="14"/>
                <w:szCs w:val="16"/>
                <w:lang w:eastAsia="it-IT"/>
              </w:rPr>
            </w:pPr>
            <w:r>
              <w:rPr>
                <w:rFonts w:cs="Arial" w:ascii="Arial" w:hAnsi="Arial"/>
                <w:b/>
                <w:bCs/>
                <w:color w:val="000000"/>
                <w:sz w:val="14"/>
                <w:szCs w:val="16"/>
                <w:lang w:eastAsia="it-IT"/>
              </w:rPr>
              <w:t>Cagliari</w:t>
            </w:r>
          </w:p>
        </w:tc>
        <w:tc>
          <w:tcPr>
            <w:tcW w:w="1576"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bCs/>
                <w:color w:val="000000"/>
                <w:sz w:val="14"/>
                <w:szCs w:val="16"/>
                <w:lang w:eastAsia="it-IT"/>
              </w:rPr>
            </w:pPr>
            <w:r>
              <w:rPr>
                <w:rFonts w:cs="Arial" w:ascii="Arial" w:hAnsi="Arial"/>
                <w:bCs/>
                <w:color w:val="000000"/>
                <w:sz w:val="14"/>
                <w:szCs w:val="16"/>
                <w:lang w:eastAsia="it-IT"/>
              </w:rPr>
              <w:t>CAGLIARI8 AC</w:t>
            </w:r>
          </w:p>
        </w:tc>
        <w:tc>
          <w:tcPr>
            <w:tcW w:w="1177"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56532</w:t>
            </w:r>
          </w:p>
        </w:tc>
        <w:tc>
          <w:tcPr>
            <w:tcW w:w="1181"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1929</w:t>
            </w:r>
          </w:p>
        </w:tc>
        <w:tc>
          <w:tcPr>
            <w:tcW w:w="994"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75</w:t>
            </w:r>
          </w:p>
        </w:tc>
        <w:tc>
          <w:tcPr>
            <w:tcW w:w="1363"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24484</w:t>
            </w:r>
          </w:p>
        </w:tc>
        <w:tc>
          <w:tcPr>
            <w:tcW w:w="960"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ALTO</w:t>
            </w:r>
          </w:p>
        </w:tc>
      </w:tr>
      <w:tr>
        <w:trPr>
          <w:trHeight w:val="300" w:hRule="atLeast"/>
        </w:trPr>
        <w:tc>
          <w:tcPr>
            <w:tcW w:w="1980"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rPr>
                <w:rFonts w:ascii="Arial" w:hAnsi="Arial" w:cs="Arial"/>
                <w:b/>
                <w:bCs/>
                <w:color w:val="000000"/>
                <w:sz w:val="14"/>
                <w:szCs w:val="16"/>
                <w:lang w:eastAsia="it-IT"/>
              </w:rPr>
            </w:pPr>
            <w:r>
              <w:rPr>
                <w:rFonts w:cs="Arial" w:ascii="Arial" w:hAnsi="Arial"/>
                <w:b/>
                <w:bCs/>
                <w:color w:val="000000"/>
                <w:sz w:val="14"/>
                <w:szCs w:val="16"/>
                <w:lang w:eastAsia="it-IT"/>
              </w:rPr>
              <w:t>Quartu Sant'Elena</w:t>
            </w:r>
          </w:p>
        </w:tc>
        <w:tc>
          <w:tcPr>
            <w:tcW w:w="1576"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bCs/>
                <w:color w:val="000000"/>
                <w:sz w:val="14"/>
                <w:szCs w:val="16"/>
                <w:lang w:eastAsia="it-IT"/>
              </w:rPr>
            </w:pPr>
            <w:r>
              <w:rPr>
                <w:rFonts w:cs="Arial" w:ascii="Arial" w:hAnsi="Arial"/>
                <w:bCs/>
                <w:color w:val="000000"/>
                <w:sz w:val="14"/>
                <w:szCs w:val="16"/>
                <w:lang w:eastAsia="it-IT"/>
              </w:rPr>
              <w:t>QUARTU 1 AC</w:t>
            </w:r>
          </w:p>
        </w:tc>
        <w:tc>
          <w:tcPr>
            <w:tcW w:w="1177"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76533</w:t>
            </w:r>
          </w:p>
        </w:tc>
        <w:tc>
          <w:tcPr>
            <w:tcW w:w="1181"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3065</w:t>
            </w:r>
          </w:p>
        </w:tc>
        <w:tc>
          <w:tcPr>
            <w:tcW w:w="994"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76</w:t>
            </w:r>
          </w:p>
        </w:tc>
        <w:tc>
          <w:tcPr>
            <w:tcW w:w="1363"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41003</w:t>
            </w:r>
          </w:p>
        </w:tc>
        <w:tc>
          <w:tcPr>
            <w:tcW w:w="960"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ALTO</w:t>
            </w:r>
          </w:p>
        </w:tc>
      </w:tr>
      <w:tr>
        <w:trPr>
          <w:trHeight w:val="300" w:hRule="atLeast"/>
        </w:trPr>
        <w:tc>
          <w:tcPr>
            <w:tcW w:w="1980"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rPr>
                <w:rFonts w:ascii="Arial" w:hAnsi="Arial" w:cs="Arial"/>
                <w:b/>
                <w:bCs/>
                <w:color w:val="000000"/>
                <w:sz w:val="14"/>
                <w:szCs w:val="16"/>
                <w:lang w:eastAsia="it-IT"/>
              </w:rPr>
            </w:pPr>
            <w:r>
              <w:rPr>
                <w:rFonts w:cs="Arial" w:ascii="Arial" w:hAnsi="Arial"/>
                <w:b/>
                <w:bCs/>
                <w:color w:val="000000"/>
                <w:sz w:val="14"/>
                <w:szCs w:val="16"/>
                <w:lang w:eastAsia="it-IT"/>
              </w:rPr>
              <w:t>Quartu Sant'Elena</w:t>
            </w:r>
          </w:p>
        </w:tc>
        <w:tc>
          <w:tcPr>
            <w:tcW w:w="1576"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bCs/>
                <w:color w:val="000000"/>
                <w:sz w:val="14"/>
                <w:szCs w:val="16"/>
                <w:lang w:eastAsia="it-IT"/>
              </w:rPr>
            </w:pPr>
            <w:r>
              <w:rPr>
                <w:rFonts w:cs="Arial" w:ascii="Arial" w:hAnsi="Arial"/>
                <w:bCs/>
                <w:color w:val="000000"/>
                <w:sz w:val="14"/>
                <w:szCs w:val="16"/>
                <w:lang w:eastAsia="it-IT"/>
              </w:rPr>
              <w:t>QUARTU2 AC</w:t>
            </w:r>
          </w:p>
        </w:tc>
        <w:tc>
          <w:tcPr>
            <w:tcW w:w="1177"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41978</w:t>
            </w:r>
          </w:p>
        </w:tc>
        <w:tc>
          <w:tcPr>
            <w:tcW w:w="1181"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1422</w:t>
            </w:r>
          </w:p>
        </w:tc>
        <w:tc>
          <w:tcPr>
            <w:tcW w:w="994"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77</w:t>
            </w:r>
          </w:p>
        </w:tc>
        <w:tc>
          <w:tcPr>
            <w:tcW w:w="1363"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19842</w:t>
            </w:r>
          </w:p>
        </w:tc>
        <w:tc>
          <w:tcPr>
            <w:tcW w:w="960" w:type="dxa"/>
            <w:tcBorders>
              <w:top w:val="single" w:sz="4" w:space="0" w:color="A8D08D"/>
              <w:left w:val="single" w:sz="4" w:space="0" w:color="A8D08D"/>
              <w:bottom w:val="single" w:sz="4" w:space="0" w:color="A8D08D"/>
              <w:right w:val="single" w:sz="4" w:space="0" w:color="A8D08D"/>
            </w:tcBorders>
            <w:shd w:color="auto" w:fill="auto"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MEDIO</w:t>
            </w:r>
          </w:p>
        </w:tc>
      </w:tr>
      <w:tr>
        <w:trPr>
          <w:trHeight w:val="300" w:hRule="atLeast"/>
        </w:trPr>
        <w:tc>
          <w:tcPr>
            <w:tcW w:w="1980"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rPr>
                <w:rFonts w:ascii="Arial" w:hAnsi="Arial" w:cs="Arial"/>
                <w:b/>
                <w:bCs/>
                <w:color w:val="000000"/>
                <w:sz w:val="14"/>
                <w:szCs w:val="16"/>
                <w:lang w:eastAsia="it-IT"/>
              </w:rPr>
            </w:pPr>
            <w:r>
              <w:rPr>
                <w:rFonts w:cs="Arial" w:ascii="Arial" w:hAnsi="Arial"/>
                <w:b/>
                <w:bCs/>
                <w:color w:val="000000"/>
                <w:sz w:val="14"/>
                <w:szCs w:val="16"/>
                <w:lang w:eastAsia="it-IT"/>
              </w:rPr>
              <w:t>Quartu Sant'Elena</w:t>
            </w:r>
          </w:p>
        </w:tc>
        <w:tc>
          <w:tcPr>
            <w:tcW w:w="1576"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bCs/>
                <w:color w:val="000000"/>
                <w:sz w:val="14"/>
                <w:szCs w:val="16"/>
                <w:lang w:eastAsia="it-IT"/>
              </w:rPr>
            </w:pPr>
            <w:r>
              <w:rPr>
                <w:rFonts w:cs="Arial" w:ascii="Arial" w:hAnsi="Arial"/>
                <w:bCs/>
                <w:color w:val="000000"/>
                <w:sz w:val="14"/>
                <w:szCs w:val="16"/>
                <w:lang w:eastAsia="it-IT"/>
              </w:rPr>
              <w:t>QUARTU3 AC</w:t>
            </w:r>
          </w:p>
        </w:tc>
        <w:tc>
          <w:tcPr>
            <w:tcW w:w="1177"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69568</w:t>
            </w:r>
          </w:p>
        </w:tc>
        <w:tc>
          <w:tcPr>
            <w:tcW w:w="1181"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4868</w:t>
            </w:r>
          </w:p>
        </w:tc>
        <w:tc>
          <w:tcPr>
            <w:tcW w:w="994"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76</w:t>
            </w:r>
          </w:p>
        </w:tc>
        <w:tc>
          <w:tcPr>
            <w:tcW w:w="1363"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52466</w:t>
            </w:r>
          </w:p>
        </w:tc>
        <w:tc>
          <w:tcPr>
            <w:tcW w:w="960" w:type="dxa"/>
            <w:tcBorders>
              <w:top w:val="single" w:sz="4" w:space="0" w:color="A8D08D"/>
              <w:left w:val="single" w:sz="4" w:space="0" w:color="A8D08D"/>
              <w:bottom w:val="single" w:sz="4" w:space="0" w:color="A8D08D"/>
              <w:right w:val="single" w:sz="4" w:space="0" w:color="A8D08D"/>
            </w:tcBorders>
            <w:shd w:color="auto" w:fill="E2EFD9" w:val="clear"/>
            <w:vAlign w:val="center"/>
          </w:tcPr>
          <w:p>
            <w:pPr>
              <w:pStyle w:val="Normal"/>
              <w:suppressAutoHyphens w:val="false"/>
              <w:jc w:val="center"/>
              <w:rPr>
                <w:rFonts w:ascii="Arial" w:hAnsi="Arial" w:cs="Arial"/>
                <w:color w:val="000000"/>
                <w:sz w:val="14"/>
                <w:szCs w:val="16"/>
                <w:lang w:eastAsia="it-IT"/>
              </w:rPr>
            </w:pPr>
            <w:r>
              <w:rPr>
                <w:rFonts w:cs="Arial" w:ascii="Arial" w:hAnsi="Arial"/>
                <w:color w:val="000000"/>
                <w:sz w:val="14"/>
                <w:szCs w:val="16"/>
                <w:lang w:eastAsia="it-IT"/>
              </w:rPr>
              <w:t>ALTO</w:t>
            </w:r>
          </w:p>
        </w:tc>
      </w:tr>
    </w:tbl>
    <w:p>
      <w:pPr>
        <w:pStyle w:val="Normal"/>
        <w:rPr>
          <w:b/>
          <w:sz w:val="16"/>
          <w:szCs w:val="18"/>
        </w:rPr>
      </w:pPr>
      <w:r>
        <w:rPr>
          <w:b/>
          <w:sz w:val="16"/>
          <w:szCs w:val="18"/>
        </w:rPr>
      </w:r>
    </w:p>
    <w:p>
      <w:pPr>
        <w:pStyle w:val="Normal"/>
        <w:rPr>
          <w:rFonts w:ascii="Arial" w:hAnsi="Arial" w:cs="Arial"/>
          <w:b/>
          <w:sz w:val="16"/>
          <w:szCs w:val="18"/>
        </w:rPr>
      </w:pPr>
      <w:r>
        <w:rPr>
          <w:rFonts w:cs="Arial" w:ascii="Arial" w:hAnsi="Arial"/>
          <w:b/>
          <w:sz w:val="16"/>
          <w:szCs w:val="18"/>
        </w:rPr>
        <w:t>Tabella riepilogo aree critiche notturne per comune</w:t>
      </w:r>
    </w:p>
    <w:tbl>
      <w:tblPr>
        <w:tblStyle w:val="Tabellagriglia4-colore6"/>
        <w:tblW w:w="9911" w:type="dxa"/>
        <w:jc w:val="left"/>
        <w:tblInd w:w="-5" w:type="dxa"/>
        <w:tblLayout w:type="fixed"/>
        <w:tblCellMar>
          <w:top w:w="0" w:type="dxa"/>
          <w:left w:w="108" w:type="dxa"/>
          <w:bottom w:w="0" w:type="dxa"/>
          <w:right w:w="108" w:type="dxa"/>
        </w:tblCellMar>
        <w:tblLook w:firstRow="1" w:noVBand="1" w:lastRow="0" w:firstColumn="1" w:lastColumn="0" w:noHBand="0" w:val="04a0"/>
      </w:tblPr>
      <w:tblGrid>
        <w:gridCol w:w="1695"/>
        <w:gridCol w:w="1560"/>
        <w:gridCol w:w="1101"/>
        <w:gridCol w:w="1200"/>
        <w:gridCol w:w="1246"/>
        <w:gridCol w:w="808"/>
        <w:gridCol w:w="1251"/>
        <w:gridCol w:w="1048"/>
      </w:tblGrid>
      <w:tr>
        <w:trPr>
          <w:tblHeader w:val="true"/>
          <w:trHeight w:val="300" w:hRule="atLeast"/>
          <w:cnfStyle w:val="100000000000" w:firstRow="1" w:lastRow="0" w:firstColumn="0" w:lastColumn="0" w:oddVBand="0" w:evenVBand="0" w:oddHBand="0" w:evenHBand="0" w:firstRowFirstColumn="0" w:firstRowLastColumn="0" w:lastRowFirstColumn="0" w:lastRowLastColumn="0"/>
        </w:trPr>
        <w:tc>
          <w:tcPr>
            <w:tcW w:w="1695"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nil"/>
            </w:tcBorders>
            <w:shd w:color="auto" w:fill="70AD47" w:val="clear"/>
          </w:tcPr>
          <w:p>
            <w:pPr>
              <w:pStyle w:val="Normal"/>
              <w:widowControl/>
              <w:suppressAutoHyphens w:val="false"/>
              <w:spacing w:before="0" w:after="0"/>
              <w:jc w:val="left"/>
              <w:textAlignment w:val="auto"/>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Comune</w:t>
            </w:r>
          </w:p>
        </w:tc>
        <w:tc>
          <w:tcPr>
            <w:tcW w:w="1560" w:type="dxa"/>
            <w:tcBorders>
              <w:top w:val="single" w:sz="4" w:space="0" w:color="000000"/>
              <w:left w:val="nil"/>
              <w:bottom w:val="single" w:sz="4" w:space="0" w:color="000000"/>
              <w:right w:val="nil"/>
            </w:tcBorders>
            <w:shd w:color="auto" w:fill="70AD47" w:val="clear"/>
          </w:tcPr>
          <w:p>
            <w:pPr>
              <w:pStyle w:val="Normal"/>
              <w:widowControl/>
              <w:suppressAutoHyphens w:val="false"/>
              <w:spacing w:before="0" w:after="0"/>
              <w:jc w:val="left"/>
              <w:textAlignment w:val="auto"/>
              <w:cnfStyle w:val="100000000000" w:firstRow="1" w:lastRow="0" w:firstColumn="0" w:lastColumn="0" w:oddVBand="0" w:evenVBand="0" w:oddHBand="0" w:evenHBand="0" w:firstRowFirstColumn="0" w:firstRowLastColumn="0" w:lastRowFirstColumn="0" w:lastRowLastColumn="0"/>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Denominazione</w:t>
            </w:r>
          </w:p>
        </w:tc>
        <w:tc>
          <w:tcPr>
            <w:tcW w:w="1101" w:type="dxa"/>
            <w:tcBorders>
              <w:top w:val="single" w:sz="4" w:space="0" w:color="000000"/>
              <w:left w:val="nil"/>
              <w:bottom w:val="single" w:sz="4" w:space="0" w:color="000000"/>
              <w:right w:val="nil"/>
            </w:tcBorders>
            <w:shd w:color="auto" w:fill="70AD47" w:val="clear"/>
          </w:tcPr>
          <w:p>
            <w:pPr>
              <w:pStyle w:val="Normal"/>
              <w:widowControl/>
              <w:suppressAutoHyphens w:val="false"/>
              <w:spacing w:before="0" w:after="0"/>
              <w:jc w:val="left"/>
              <w:textAlignment w:val="auto"/>
              <w:cnfStyle w:val="100000000000" w:firstRow="1" w:lastRow="0" w:firstColumn="0" w:lastColumn="0" w:oddVBand="0" w:evenVBand="0" w:oddHBand="0" w:evenHBand="0" w:firstRowFirstColumn="0" w:firstRowLastColumn="0" w:lastRowFirstColumn="0" w:lastRowLastColumn="0"/>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Superficie</w:t>
            </w:r>
          </w:p>
        </w:tc>
        <w:tc>
          <w:tcPr>
            <w:tcW w:w="1200" w:type="dxa"/>
            <w:tcBorders>
              <w:top w:val="single" w:sz="4" w:space="0" w:color="000000"/>
              <w:left w:val="nil"/>
              <w:bottom w:val="single" w:sz="4" w:space="0" w:color="000000"/>
              <w:right w:val="nil"/>
            </w:tcBorders>
            <w:shd w:color="auto" w:fill="70AD47" w:val="clear"/>
          </w:tcPr>
          <w:p>
            <w:pPr>
              <w:pStyle w:val="Normal"/>
              <w:widowControl/>
              <w:suppressAutoHyphens w:val="false"/>
              <w:spacing w:before="0" w:after="0"/>
              <w:jc w:val="left"/>
              <w:textAlignment w:val="auto"/>
              <w:cnfStyle w:val="100000000000" w:firstRow="1" w:lastRow="0" w:firstColumn="0" w:lastColumn="0" w:oddVBand="0" w:evenVBand="0" w:oddHBand="0" w:evenHBand="0" w:firstRowFirstColumn="0" w:firstRowLastColumn="0" w:lastRowFirstColumn="0" w:lastRowLastColumn="0"/>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Popolazione</w:t>
            </w:r>
          </w:p>
        </w:tc>
        <w:tc>
          <w:tcPr>
            <w:tcW w:w="1246" w:type="dxa"/>
            <w:tcBorders>
              <w:top w:val="single" w:sz="4" w:space="0" w:color="000000"/>
              <w:left w:val="nil"/>
              <w:bottom w:val="single" w:sz="4" w:space="0" w:color="000000"/>
              <w:right w:val="nil"/>
            </w:tcBorders>
            <w:shd w:color="auto" w:fill="70AD47" w:val="clear"/>
          </w:tcPr>
          <w:p>
            <w:pPr>
              <w:pStyle w:val="Normal"/>
              <w:widowControl/>
              <w:suppressAutoHyphens w:val="false"/>
              <w:spacing w:before="0" w:after="0"/>
              <w:jc w:val="left"/>
              <w:textAlignment w:val="auto"/>
              <w:cnfStyle w:val="100000000000" w:firstRow="1" w:lastRow="0" w:firstColumn="0" w:lastColumn="0" w:oddVBand="0" w:evenVBand="0" w:oddHBand="0" w:evenHBand="0" w:firstRowFirstColumn="0" w:firstRowLastColumn="0" w:lastRowFirstColumn="0" w:lastRowLastColumn="0"/>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LAEQ_NIGHT dB(A)</w:t>
            </w:r>
          </w:p>
        </w:tc>
        <w:tc>
          <w:tcPr>
            <w:tcW w:w="808" w:type="dxa"/>
            <w:tcBorders>
              <w:top w:val="single" w:sz="4" w:space="0" w:color="000000"/>
              <w:left w:val="nil"/>
              <w:bottom w:val="single" w:sz="4" w:space="0" w:color="000000"/>
              <w:right w:val="nil"/>
            </w:tcBorders>
            <w:shd w:color="auto" w:fill="70AD47" w:val="clear"/>
          </w:tcPr>
          <w:p>
            <w:pPr>
              <w:pStyle w:val="Normal"/>
              <w:widowControl/>
              <w:suppressAutoHyphens w:val="false"/>
              <w:spacing w:before="0" w:after="0"/>
              <w:jc w:val="left"/>
              <w:textAlignment w:val="auto"/>
              <w:cnfStyle w:val="100000000000" w:firstRow="1" w:lastRow="0" w:firstColumn="0" w:lastColumn="0" w:oddVBand="0" w:evenVBand="0" w:oddHBand="0" w:evenHBand="0" w:firstRowFirstColumn="0" w:firstRowLastColumn="0" w:lastRowFirstColumn="0" w:lastRowLastColumn="0"/>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LIMITI_N</w:t>
            </w:r>
          </w:p>
          <w:p>
            <w:pPr>
              <w:pStyle w:val="Normal"/>
              <w:widowControl/>
              <w:suppressAutoHyphens w:val="false"/>
              <w:spacing w:before="0" w:after="0"/>
              <w:jc w:val="left"/>
              <w:textAlignment w:val="auto"/>
              <w:cnfStyle w:val="100000000000" w:firstRow="1" w:lastRow="0" w:firstColumn="0" w:lastColumn="0" w:oddVBand="0" w:evenVBand="0" w:oddHBand="0" w:evenHBand="0" w:firstRowFirstColumn="0" w:firstRowLastColumn="0" w:lastRowFirstColumn="0" w:lastRowLastColumn="0"/>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dB(A)</w:t>
            </w:r>
          </w:p>
        </w:tc>
        <w:tc>
          <w:tcPr>
            <w:tcW w:w="1251" w:type="dxa"/>
            <w:tcBorders>
              <w:top w:val="single" w:sz="4" w:space="0" w:color="000000"/>
              <w:left w:val="nil"/>
              <w:bottom w:val="single" w:sz="4" w:space="0" w:color="000000"/>
              <w:right w:val="nil"/>
            </w:tcBorders>
            <w:shd w:color="auto" w:fill="70AD47" w:val="clear"/>
          </w:tcPr>
          <w:p>
            <w:pPr>
              <w:pStyle w:val="Normal"/>
              <w:widowControl/>
              <w:suppressAutoHyphens w:val="false"/>
              <w:spacing w:before="0" w:after="0"/>
              <w:jc w:val="left"/>
              <w:textAlignment w:val="auto"/>
              <w:cnfStyle w:val="100000000000" w:firstRow="1" w:lastRow="0" w:firstColumn="0" w:lastColumn="0" w:oddVBand="0" w:evenVBand="0" w:oddHBand="0" w:evenHBand="0" w:firstRowFirstColumn="0" w:firstRowLastColumn="0" w:lastRowFirstColumn="0" w:lastRowLastColumn="0"/>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Indice Criticità</w:t>
            </w:r>
          </w:p>
        </w:tc>
        <w:tc>
          <w:tcPr>
            <w:tcW w:w="1048" w:type="dxa"/>
            <w:tcBorders>
              <w:top w:val="single" w:sz="4" w:space="0" w:color="000000"/>
              <w:left w:val="nil"/>
              <w:bottom w:val="single" w:sz="4" w:space="0" w:color="000000"/>
              <w:right w:val="single" w:sz="4" w:space="0" w:color="000000"/>
            </w:tcBorders>
            <w:shd w:color="auto" w:fill="70AD47" w:val="clear"/>
          </w:tcPr>
          <w:p>
            <w:pPr>
              <w:pStyle w:val="Normal"/>
              <w:widowControl/>
              <w:suppressAutoHyphens w:val="false"/>
              <w:spacing w:before="0" w:after="0"/>
              <w:jc w:val="left"/>
              <w:textAlignment w:val="auto"/>
              <w:cnfStyle w:val="100000000000" w:firstRow="1" w:lastRow="0" w:firstColumn="0" w:lastColumn="0" w:oddVBand="0" w:evenVBand="0" w:oddHBand="0" w:evenHBand="0" w:firstRowFirstColumn="0" w:firstRowLastColumn="0" w:lastRowFirstColumn="0" w:lastRowLastColumn="0"/>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CRITICITA'</w:t>
            </w:r>
          </w:p>
        </w:tc>
      </w:tr>
      <w:tr>
        <w:trPr>
          <w:trHeight w:val="300" w:hRule="atLeast"/>
          <w:cnfStyle w:val="000000100000" w:firstRow="0" w:lastRow="0" w:firstColumn="0" w:lastColumn="0" w:oddVBand="0" w:evenVBand="0" w:oddHBand="1" w:evenHBand="0" w:firstRowFirstColumn="0" w:firstRowLastColumn="0" w:lastRowFirstColumn="0" w:lastRowLastColumn="0"/>
        </w:trPr>
        <w:tc>
          <w:tcPr>
            <w:tcW w:w="1695"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color="auto" w:fill="E2EFD9" w:val="clear"/>
          </w:tcPr>
          <w:p>
            <w:pPr>
              <w:pStyle w:val="Normal"/>
              <w:widowControl/>
              <w:suppressAutoHyphens w:val="false"/>
              <w:spacing w:before="0" w:after="0"/>
              <w:jc w:val="left"/>
              <w:textAlignment w:val="auto"/>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Assemini</w:t>
            </w:r>
          </w:p>
        </w:tc>
        <w:tc>
          <w:tcPr>
            <w:tcW w:w="1560"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ASSEMINI1 ACN</w:t>
            </w:r>
          </w:p>
        </w:tc>
        <w:tc>
          <w:tcPr>
            <w:tcW w:w="1101"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12046</w:t>
            </w:r>
          </w:p>
        </w:tc>
        <w:tc>
          <w:tcPr>
            <w:tcW w:w="1200"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407</w:t>
            </w:r>
          </w:p>
        </w:tc>
        <w:tc>
          <w:tcPr>
            <w:tcW w:w="1246"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68</w:t>
            </w:r>
          </w:p>
        </w:tc>
        <w:tc>
          <w:tcPr>
            <w:tcW w:w="808"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50</w:t>
            </w:r>
          </w:p>
        </w:tc>
        <w:tc>
          <w:tcPr>
            <w:tcW w:w="1251"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6954</w:t>
            </w:r>
          </w:p>
        </w:tc>
        <w:tc>
          <w:tcPr>
            <w:tcW w:w="1048"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BASSA</w:t>
            </w:r>
          </w:p>
        </w:tc>
      </w:tr>
      <w:tr>
        <w:trPr>
          <w:trHeight w:val="300" w:hRule="atLeast"/>
        </w:trPr>
        <w:tc>
          <w:tcPr>
            <w:tcW w:w="1695"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tcPr>
          <w:p>
            <w:pPr>
              <w:pStyle w:val="Normal"/>
              <w:widowControl/>
              <w:suppressAutoHyphens w:val="false"/>
              <w:spacing w:before="0" w:after="0"/>
              <w:jc w:val="left"/>
              <w:textAlignment w:val="auto"/>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Assemini</w:t>
            </w:r>
          </w:p>
        </w:tc>
        <w:tc>
          <w:tcPr>
            <w:tcW w:w="1560"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ASSEMINI2 ACN</w:t>
            </w:r>
          </w:p>
        </w:tc>
        <w:tc>
          <w:tcPr>
            <w:tcW w:w="1101"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10065</w:t>
            </w:r>
          </w:p>
        </w:tc>
        <w:tc>
          <w:tcPr>
            <w:tcW w:w="1200"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188</w:t>
            </w:r>
          </w:p>
        </w:tc>
        <w:tc>
          <w:tcPr>
            <w:tcW w:w="1246"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68</w:t>
            </w:r>
          </w:p>
        </w:tc>
        <w:tc>
          <w:tcPr>
            <w:tcW w:w="808"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50</w:t>
            </w:r>
          </w:p>
        </w:tc>
        <w:tc>
          <w:tcPr>
            <w:tcW w:w="1251"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3260</w:t>
            </w:r>
          </w:p>
        </w:tc>
        <w:tc>
          <w:tcPr>
            <w:tcW w:w="1048"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BASSA</w:t>
            </w:r>
          </w:p>
        </w:tc>
      </w:tr>
      <w:tr>
        <w:trPr>
          <w:trHeight w:val="300" w:hRule="atLeast"/>
          <w:cnfStyle w:val="000000100000" w:firstRow="0" w:lastRow="0" w:firstColumn="0" w:lastColumn="0" w:oddVBand="0" w:evenVBand="0" w:oddHBand="1" w:evenHBand="0" w:firstRowFirstColumn="0" w:firstRowLastColumn="0" w:lastRowFirstColumn="0" w:lastRowLastColumn="0"/>
        </w:trPr>
        <w:tc>
          <w:tcPr>
            <w:tcW w:w="1695"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color="auto" w:fill="E2EFD9" w:val="clear"/>
          </w:tcPr>
          <w:p>
            <w:pPr>
              <w:pStyle w:val="Normal"/>
              <w:widowControl/>
              <w:suppressAutoHyphens w:val="false"/>
              <w:spacing w:before="0" w:after="0"/>
              <w:jc w:val="left"/>
              <w:textAlignment w:val="auto"/>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Cagliari</w:t>
            </w:r>
          </w:p>
        </w:tc>
        <w:tc>
          <w:tcPr>
            <w:tcW w:w="1560"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CAGLIARI1 ACN</w:t>
            </w:r>
          </w:p>
        </w:tc>
        <w:tc>
          <w:tcPr>
            <w:tcW w:w="1101"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12659</w:t>
            </w:r>
          </w:p>
        </w:tc>
        <w:tc>
          <w:tcPr>
            <w:tcW w:w="1200"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1193</w:t>
            </w:r>
          </w:p>
        </w:tc>
        <w:tc>
          <w:tcPr>
            <w:tcW w:w="1246"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71</w:t>
            </w:r>
          </w:p>
        </w:tc>
        <w:tc>
          <w:tcPr>
            <w:tcW w:w="808"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55</w:t>
            </w:r>
          </w:p>
        </w:tc>
        <w:tc>
          <w:tcPr>
            <w:tcW w:w="1251"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10385</w:t>
            </w:r>
          </w:p>
        </w:tc>
        <w:tc>
          <w:tcPr>
            <w:tcW w:w="1048"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BASSA</w:t>
            </w:r>
          </w:p>
        </w:tc>
      </w:tr>
      <w:tr>
        <w:trPr>
          <w:trHeight w:val="300" w:hRule="atLeast"/>
        </w:trPr>
        <w:tc>
          <w:tcPr>
            <w:tcW w:w="1695"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tcPr>
          <w:p>
            <w:pPr>
              <w:pStyle w:val="Normal"/>
              <w:widowControl/>
              <w:suppressAutoHyphens w:val="false"/>
              <w:spacing w:before="0" w:after="0"/>
              <w:jc w:val="left"/>
              <w:textAlignment w:val="auto"/>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Cagliari</w:t>
            </w:r>
          </w:p>
        </w:tc>
        <w:tc>
          <w:tcPr>
            <w:tcW w:w="1560"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CAGLIARI10 ACN</w:t>
            </w:r>
          </w:p>
        </w:tc>
        <w:tc>
          <w:tcPr>
            <w:tcW w:w="1101"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14128</w:t>
            </w:r>
          </w:p>
        </w:tc>
        <w:tc>
          <w:tcPr>
            <w:tcW w:w="1200"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840</w:t>
            </w:r>
          </w:p>
        </w:tc>
        <w:tc>
          <w:tcPr>
            <w:tcW w:w="1246"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64</w:t>
            </w:r>
          </w:p>
        </w:tc>
        <w:tc>
          <w:tcPr>
            <w:tcW w:w="808"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45</w:t>
            </w:r>
          </w:p>
        </w:tc>
        <w:tc>
          <w:tcPr>
            <w:tcW w:w="1251"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11120</w:t>
            </w:r>
          </w:p>
        </w:tc>
        <w:tc>
          <w:tcPr>
            <w:tcW w:w="1048"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BASSA</w:t>
            </w:r>
          </w:p>
        </w:tc>
      </w:tr>
      <w:tr>
        <w:trPr>
          <w:trHeight w:val="300" w:hRule="atLeast"/>
          <w:cnfStyle w:val="000000100000" w:firstRow="0" w:lastRow="0" w:firstColumn="0" w:lastColumn="0" w:oddVBand="0" w:evenVBand="0" w:oddHBand="1" w:evenHBand="0" w:firstRowFirstColumn="0" w:firstRowLastColumn="0" w:lastRowFirstColumn="0" w:lastRowLastColumn="0"/>
        </w:trPr>
        <w:tc>
          <w:tcPr>
            <w:tcW w:w="1695"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color="auto" w:fill="E2EFD9" w:val="clear"/>
          </w:tcPr>
          <w:p>
            <w:pPr>
              <w:pStyle w:val="Normal"/>
              <w:widowControl/>
              <w:suppressAutoHyphens w:val="false"/>
              <w:spacing w:before="0" w:after="0"/>
              <w:jc w:val="left"/>
              <w:textAlignment w:val="auto"/>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Cagliari</w:t>
            </w:r>
          </w:p>
        </w:tc>
        <w:tc>
          <w:tcPr>
            <w:tcW w:w="1560"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CAGLIARI11 ACN</w:t>
            </w:r>
          </w:p>
        </w:tc>
        <w:tc>
          <w:tcPr>
            <w:tcW w:w="1101"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8327</w:t>
            </w:r>
          </w:p>
        </w:tc>
        <w:tc>
          <w:tcPr>
            <w:tcW w:w="1200"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544</w:t>
            </w:r>
          </w:p>
        </w:tc>
        <w:tc>
          <w:tcPr>
            <w:tcW w:w="1246"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63</w:t>
            </w:r>
          </w:p>
        </w:tc>
        <w:tc>
          <w:tcPr>
            <w:tcW w:w="808"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55</w:t>
            </w:r>
          </w:p>
        </w:tc>
        <w:tc>
          <w:tcPr>
            <w:tcW w:w="1251"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4457</w:t>
            </w:r>
          </w:p>
        </w:tc>
        <w:tc>
          <w:tcPr>
            <w:tcW w:w="1048"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BASSA</w:t>
            </w:r>
          </w:p>
        </w:tc>
      </w:tr>
      <w:tr>
        <w:trPr>
          <w:trHeight w:val="300" w:hRule="atLeast"/>
        </w:trPr>
        <w:tc>
          <w:tcPr>
            <w:tcW w:w="1695"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tcPr>
          <w:p>
            <w:pPr>
              <w:pStyle w:val="Normal"/>
              <w:widowControl/>
              <w:suppressAutoHyphens w:val="false"/>
              <w:spacing w:before="0" w:after="0"/>
              <w:jc w:val="left"/>
              <w:textAlignment w:val="auto"/>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Cagliari</w:t>
            </w:r>
          </w:p>
        </w:tc>
        <w:tc>
          <w:tcPr>
            <w:tcW w:w="1560"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CAGLIARI12 ACN</w:t>
            </w:r>
          </w:p>
        </w:tc>
        <w:tc>
          <w:tcPr>
            <w:tcW w:w="1101"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34328</w:t>
            </w:r>
          </w:p>
        </w:tc>
        <w:tc>
          <w:tcPr>
            <w:tcW w:w="1200"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2147</w:t>
            </w:r>
          </w:p>
        </w:tc>
        <w:tc>
          <w:tcPr>
            <w:tcW w:w="1246"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66</w:t>
            </w:r>
          </w:p>
        </w:tc>
        <w:tc>
          <w:tcPr>
            <w:tcW w:w="808"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50</w:t>
            </w:r>
          </w:p>
        </w:tc>
        <w:tc>
          <w:tcPr>
            <w:tcW w:w="1251"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18289</w:t>
            </w:r>
          </w:p>
        </w:tc>
        <w:tc>
          <w:tcPr>
            <w:tcW w:w="1048"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MEDIA</w:t>
            </w:r>
          </w:p>
        </w:tc>
      </w:tr>
      <w:tr>
        <w:trPr>
          <w:trHeight w:val="300" w:hRule="atLeast"/>
          <w:cnfStyle w:val="000000100000" w:firstRow="0" w:lastRow="0" w:firstColumn="0" w:lastColumn="0" w:oddVBand="0" w:evenVBand="0" w:oddHBand="1" w:evenHBand="0" w:firstRowFirstColumn="0" w:firstRowLastColumn="0" w:lastRowFirstColumn="0" w:lastRowLastColumn="0"/>
        </w:trPr>
        <w:tc>
          <w:tcPr>
            <w:tcW w:w="1695"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color="auto" w:fill="E2EFD9" w:val="clear"/>
          </w:tcPr>
          <w:p>
            <w:pPr>
              <w:pStyle w:val="Normal"/>
              <w:widowControl/>
              <w:suppressAutoHyphens w:val="false"/>
              <w:spacing w:before="0" w:after="0"/>
              <w:jc w:val="left"/>
              <w:textAlignment w:val="auto"/>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Cagliari</w:t>
            </w:r>
          </w:p>
        </w:tc>
        <w:tc>
          <w:tcPr>
            <w:tcW w:w="1560"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CAGLIARI2 ACN</w:t>
            </w:r>
          </w:p>
        </w:tc>
        <w:tc>
          <w:tcPr>
            <w:tcW w:w="1101"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4588</w:t>
            </w:r>
          </w:p>
        </w:tc>
        <w:tc>
          <w:tcPr>
            <w:tcW w:w="1200"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411</w:t>
            </w:r>
          </w:p>
        </w:tc>
        <w:tc>
          <w:tcPr>
            <w:tcW w:w="1246"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65</w:t>
            </w:r>
          </w:p>
        </w:tc>
        <w:tc>
          <w:tcPr>
            <w:tcW w:w="808"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50</w:t>
            </w:r>
          </w:p>
        </w:tc>
        <w:tc>
          <w:tcPr>
            <w:tcW w:w="1251"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3731</w:t>
            </w:r>
          </w:p>
        </w:tc>
        <w:tc>
          <w:tcPr>
            <w:tcW w:w="1048"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BASSA</w:t>
            </w:r>
          </w:p>
        </w:tc>
      </w:tr>
      <w:tr>
        <w:trPr>
          <w:trHeight w:val="300" w:hRule="atLeast"/>
        </w:trPr>
        <w:tc>
          <w:tcPr>
            <w:tcW w:w="1695"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tcPr>
          <w:p>
            <w:pPr>
              <w:pStyle w:val="Normal"/>
              <w:widowControl/>
              <w:suppressAutoHyphens w:val="false"/>
              <w:spacing w:before="0" w:after="0"/>
              <w:jc w:val="left"/>
              <w:textAlignment w:val="auto"/>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Cagliari</w:t>
            </w:r>
          </w:p>
        </w:tc>
        <w:tc>
          <w:tcPr>
            <w:tcW w:w="1560"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CAGLIARI3 ACN</w:t>
            </w:r>
          </w:p>
        </w:tc>
        <w:tc>
          <w:tcPr>
            <w:tcW w:w="1101"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17710</w:t>
            </w:r>
          </w:p>
        </w:tc>
        <w:tc>
          <w:tcPr>
            <w:tcW w:w="1200"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1381</w:t>
            </w:r>
          </w:p>
        </w:tc>
        <w:tc>
          <w:tcPr>
            <w:tcW w:w="1246"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62</w:t>
            </w:r>
          </w:p>
        </w:tc>
        <w:tc>
          <w:tcPr>
            <w:tcW w:w="808"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45</w:t>
            </w:r>
          </w:p>
        </w:tc>
        <w:tc>
          <w:tcPr>
            <w:tcW w:w="1251"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15698</w:t>
            </w:r>
          </w:p>
        </w:tc>
        <w:tc>
          <w:tcPr>
            <w:tcW w:w="1048"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MEDIA</w:t>
            </w:r>
          </w:p>
        </w:tc>
      </w:tr>
      <w:tr>
        <w:trPr>
          <w:trHeight w:val="300" w:hRule="atLeast"/>
          <w:cnfStyle w:val="000000100000" w:firstRow="0" w:lastRow="0" w:firstColumn="0" w:lastColumn="0" w:oddVBand="0" w:evenVBand="0" w:oddHBand="1" w:evenHBand="0" w:firstRowFirstColumn="0" w:firstRowLastColumn="0" w:lastRowFirstColumn="0" w:lastRowLastColumn="0"/>
        </w:trPr>
        <w:tc>
          <w:tcPr>
            <w:tcW w:w="1695"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color="auto" w:fill="E2EFD9" w:val="clear"/>
          </w:tcPr>
          <w:p>
            <w:pPr>
              <w:pStyle w:val="Normal"/>
              <w:widowControl/>
              <w:suppressAutoHyphens w:val="false"/>
              <w:spacing w:before="0" w:after="0"/>
              <w:jc w:val="left"/>
              <w:textAlignment w:val="auto"/>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Cagliari</w:t>
            </w:r>
          </w:p>
        </w:tc>
        <w:tc>
          <w:tcPr>
            <w:tcW w:w="1560"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CAGLIARI4 ACN</w:t>
            </w:r>
          </w:p>
        </w:tc>
        <w:tc>
          <w:tcPr>
            <w:tcW w:w="1101"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3604</w:t>
            </w:r>
          </w:p>
        </w:tc>
        <w:tc>
          <w:tcPr>
            <w:tcW w:w="1200"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459</w:t>
            </w:r>
          </w:p>
        </w:tc>
        <w:tc>
          <w:tcPr>
            <w:tcW w:w="1246"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58</w:t>
            </w:r>
          </w:p>
        </w:tc>
        <w:tc>
          <w:tcPr>
            <w:tcW w:w="808"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45</w:t>
            </w:r>
          </w:p>
        </w:tc>
        <w:tc>
          <w:tcPr>
            <w:tcW w:w="1251"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5858</w:t>
            </w:r>
          </w:p>
        </w:tc>
        <w:tc>
          <w:tcPr>
            <w:tcW w:w="1048"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BASSA</w:t>
            </w:r>
          </w:p>
        </w:tc>
      </w:tr>
      <w:tr>
        <w:trPr>
          <w:trHeight w:val="300" w:hRule="atLeast"/>
        </w:trPr>
        <w:tc>
          <w:tcPr>
            <w:tcW w:w="1695"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tcPr>
          <w:p>
            <w:pPr>
              <w:pStyle w:val="Normal"/>
              <w:widowControl/>
              <w:suppressAutoHyphens w:val="false"/>
              <w:spacing w:before="0" w:after="0"/>
              <w:jc w:val="left"/>
              <w:textAlignment w:val="auto"/>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Cagliari</w:t>
            </w:r>
          </w:p>
        </w:tc>
        <w:tc>
          <w:tcPr>
            <w:tcW w:w="1560"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CAGLIARI5 ACN</w:t>
            </w:r>
          </w:p>
        </w:tc>
        <w:tc>
          <w:tcPr>
            <w:tcW w:w="1101"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4416</w:t>
            </w:r>
          </w:p>
        </w:tc>
        <w:tc>
          <w:tcPr>
            <w:tcW w:w="1200"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494</w:t>
            </w:r>
          </w:p>
        </w:tc>
        <w:tc>
          <w:tcPr>
            <w:tcW w:w="1246"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61</w:t>
            </w:r>
          </w:p>
        </w:tc>
        <w:tc>
          <w:tcPr>
            <w:tcW w:w="808"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45</w:t>
            </w:r>
          </w:p>
        </w:tc>
        <w:tc>
          <w:tcPr>
            <w:tcW w:w="1251"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7203</w:t>
            </w:r>
          </w:p>
        </w:tc>
        <w:tc>
          <w:tcPr>
            <w:tcW w:w="1048"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BASSA</w:t>
            </w:r>
          </w:p>
        </w:tc>
      </w:tr>
      <w:tr>
        <w:trPr>
          <w:trHeight w:val="300" w:hRule="atLeast"/>
          <w:cnfStyle w:val="000000100000" w:firstRow="0" w:lastRow="0" w:firstColumn="0" w:lastColumn="0" w:oddVBand="0" w:evenVBand="0" w:oddHBand="1" w:evenHBand="0" w:firstRowFirstColumn="0" w:firstRowLastColumn="0" w:lastRowFirstColumn="0" w:lastRowLastColumn="0"/>
        </w:trPr>
        <w:tc>
          <w:tcPr>
            <w:tcW w:w="1695"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color="auto" w:fill="E2EFD9" w:val="clear"/>
          </w:tcPr>
          <w:p>
            <w:pPr>
              <w:pStyle w:val="Normal"/>
              <w:widowControl/>
              <w:suppressAutoHyphens w:val="false"/>
              <w:spacing w:before="0" w:after="0"/>
              <w:jc w:val="left"/>
              <w:textAlignment w:val="auto"/>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Cagliari</w:t>
            </w:r>
          </w:p>
        </w:tc>
        <w:tc>
          <w:tcPr>
            <w:tcW w:w="1560"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CAGLIARI6 ACN</w:t>
            </w:r>
          </w:p>
        </w:tc>
        <w:tc>
          <w:tcPr>
            <w:tcW w:w="1101"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5197</w:t>
            </w:r>
          </w:p>
        </w:tc>
        <w:tc>
          <w:tcPr>
            <w:tcW w:w="1200"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475</w:t>
            </w:r>
          </w:p>
        </w:tc>
        <w:tc>
          <w:tcPr>
            <w:tcW w:w="1246"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66</w:t>
            </w:r>
          </w:p>
        </w:tc>
        <w:tc>
          <w:tcPr>
            <w:tcW w:w="808"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55</w:t>
            </w:r>
          </w:p>
        </w:tc>
        <w:tc>
          <w:tcPr>
            <w:tcW w:w="1251"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4397</w:t>
            </w:r>
          </w:p>
        </w:tc>
        <w:tc>
          <w:tcPr>
            <w:tcW w:w="1048"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BASSA</w:t>
            </w:r>
          </w:p>
        </w:tc>
      </w:tr>
      <w:tr>
        <w:trPr>
          <w:trHeight w:val="300" w:hRule="atLeast"/>
        </w:trPr>
        <w:tc>
          <w:tcPr>
            <w:tcW w:w="1695"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tcPr>
          <w:p>
            <w:pPr>
              <w:pStyle w:val="Normal"/>
              <w:widowControl/>
              <w:suppressAutoHyphens w:val="false"/>
              <w:spacing w:before="0" w:after="0"/>
              <w:jc w:val="left"/>
              <w:textAlignment w:val="auto"/>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Cagliari</w:t>
            </w:r>
          </w:p>
        </w:tc>
        <w:tc>
          <w:tcPr>
            <w:tcW w:w="1560"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CAGLIARI7 ACN</w:t>
            </w:r>
          </w:p>
        </w:tc>
        <w:tc>
          <w:tcPr>
            <w:tcW w:w="1101"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6144</w:t>
            </w:r>
          </w:p>
        </w:tc>
        <w:tc>
          <w:tcPr>
            <w:tcW w:w="1200"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590</w:t>
            </w:r>
          </w:p>
        </w:tc>
        <w:tc>
          <w:tcPr>
            <w:tcW w:w="1246"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63</w:t>
            </w:r>
          </w:p>
        </w:tc>
        <w:tc>
          <w:tcPr>
            <w:tcW w:w="808"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45</w:t>
            </w:r>
          </w:p>
        </w:tc>
        <w:tc>
          <w:tcPr>
            <w:tcW w:w="1251"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5984</w:t>
            </w:r>
          </w:p>
        </w:tc>
        <w:tc>
          <w:tcPr>
            <w:tcW w:w="1048"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BASSA</w:t>
            </w:r>
          </w:p>
        </w:tc>
      </w:tr>
      <w:tr>
        <w:trPr>
          <w:trHeight w:val="300" w:hRule="atLeast"/>
          <w:cnfStyle w:val="000000100000" w:firstRow="0" w:lastRow="0" w:firstColumn="0" w:lastColumn="0" w:oddVBand="0" w:evenVBand="0" w:oddHBand="1" w:evenHBand="0" w:firstRowFirstColumn="0" w:firstRowLastColumn="0" w:lastRowFirstColumn="0" w:lastRowLastColumn="0"/>
        </w:trPr>
        <w:tc>
          <w:tcPr>
            <w:tcW w:w="1695"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color="auto" w:fill="E2EFD9" w:val="clear"/>
          </w:tcPr>
          <w:p>
            <w:pPr>
              <w:pStyle w:val="Normal"/>
              <w:widowControl/>
              <w:suppressAutoHyphens w:val="false"/>
              <w:spacing w:before="0" w:after="0"/>
              <w:jc w:val="left"/>
              <w:textAlignment w:val="auto"/>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Cagliari</w:t>
            </w:r>
          </w:p>
        </w:tc>
        <w:tc>
          <w:tcPr>
            <w:tcW w:w="1560"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CAGLIARI8 ACN</w:t>
            </w:r>
          </w:p>
        </w:tc>
        <w:tc>
          <w:tcPr>
            <w:tcW w:w="1101"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41152</w:t>
            </w:r>
          </w:p>
        </w:tc>
        <w:tc>
          <w:tcPr>
            <w:tcW w:w="1200"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1494</w:t>
            </w:r>
          </w:p>
        </w:tc>
        <w:tc>
          <w:tcPr>
            <w:tcW w:w="1246"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64</w:t>
            </w:r>
          </w:p>
        </w:tc>
        <w:tc>
          <w:tcPr>
            <w:tcW w:w="808"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45</w:t>
            </w:r>
          </w:p>
        </w:tc>
        <w:tc>
          <w:tcPr>
            <w:tcW w:w="1251"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18978</w:t>
            </w:r>
          </w:p>
        </w:tc>
        <w:tc>
          <w:tcPr>
            <w:tcW w:w="1048"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MEDIA</w:t>
            </w:r>
          </w:p>
        </w:tc>
      </w:tr>
      <w:tr>
        <w:trPr>
          <w:trHeight w:val="300" w:hRule="atLeast"/>
        </w:trPr>
        <w:tc>
          <w:tcPr>
            <w:tcW w:w="1695"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tcPr>
          <w:p>
            <w:pPr>
              <w:pStyle w:val="Normal"/>
              <w:widowControl/>
              <w:suppressAutoHyphens w:val="false"/>
              <w:spacing w:before="0" w:after="0"/>
              <w:jc w:val="left"/>
              <w:textAlignment w:val="auto"/>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Cagliari</w:t>
            </w:r>
          </w:p>
        </w:tc>
        <w:tc>
          <w:tcPr>
            <w:tcW w:w="1560"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CAGLIARI9 ACN</w:t>
            </w:r>
          </w:p>
        </w:tc>
        <w:tc>
          <w:tcPr>
            <w:tcW w:w="1101"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14736</w:t>
            </w:r>
          </w:p>
        </w:tc>
        <w:tc>
          <w:tcPr>
            <w:tcW w:w="1200"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556</w:t>
            </w:r>
          </w:p>
        </w:tc>
        <w:tc>
          <w:tcPr>
            <w:tcW w:w="1246"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64</w:t>
            </w:r>
          </w:p>
        </w:tc>
        <w:tc>
          <w:tcPr>
            <w:tcW w:w="808"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45</w:t>
            </w:r>
          </w:p>
        </w:tc>
        <w:tc>
          <w:tcPr>
            <w:tcW w:w="1251"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6824</w:t>
            </w:r>
          </w:p>
        </w:tc>
        <w:tc>
          <w:tcPr>
            <w:tcW w:w="1048"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BASSA</w:t>
            </w:r>
          </w:p>
        </w:tc>
      </w:tr>
      <w:tr>
        <w:trPr>
          <w:trHeight w:val="300" w:hRule="atLeast"/>
          <w:cnfStyle w:val="000000100000" w:firstRow="0" w:lastRow="0" w:firstColumn="0" w:lastColumn="0" w:oddVBand="0" w:evenVBand="0" w:oddHBand="1" w:evenHBand="0" w:firstRowFirstColumn="0" w:firstRowLastColumn="0" w:lastRowFirstColumn="0" w:lastRowLastColumn="0"/>
        </w:trPr>
        <w:tc>
          <w:tcPr>
            <w:tcW w:w="1695"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color="auto" w:fill="E2EFD9" w:val="clear"/>
          </w:tcPr>
          <w:p>
            <w:pPr>
              <w:pStyle w:val="Normal"/>
              <w:widowControl/>
              <w:suppressAutoHyphens w:val="false"/>
              <w:spacing w:before="0" w:after="0"/>
              <w:jc w:val="left"/>
              <w:textAlignment w:val="auto"/>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Quartu Sant'Elena</w:t>
            </w:r>
          </w:p>
        </w:tc>
        <w:tc>
          <w:tcPr>
            <w:tcW w:w="1560"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QUARTU1 ACN</w:t>
            </w:r>
          </w:p>
        </w:tc>
        <w:tc>
          <w:tcPr>
            <w:tcW w:w="1101"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71754</w:t>
            </w:r>
          </w:p>
        </w:tc>
        <w:tc>
          <w:tcPr>
            <w:tcW w:w="1200"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2947</w:t>
            </w:r>
          </w:p>
        </w:tc>
        <w:tc>
          <w:tcPr>
            <w:tcW w:w="1246"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66</w:t>
            </w:r>
          </w:p>
        </w:tc>
        <w:tc>
          <w:tcPr>
            <w:tcW w:w="808"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50</w:t>
            </w:r>
          </w:p>
        </w:tc>
        <w:tc>
          <w:tcPr>
            <w:tcW w:w="1251"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39682</w:t>
            </w:r>
          </w:p>
        </w:tc>
        <w:tc>
          <w:tcPr>
            <w:tcW w:w="1048"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ALTA</w:t>
            </w:r>
          </w:p>
        </w:tc>
      </w:tr>
      <w:tr>
        <w:trPr>
          <w:trHeight w:val="300" w:hRule="atLeast"/>
        </w:trPr>
        <w:tc>
          <w:tcPr>
            <w:tcW w:w="1695"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tcPr>
          <w:p>
            <w:pPr>
              <w:pStyle w:val="Normal"/>
              <w:widowControl/>
              <w:suppressAutoHyphens w:val="false"/>
              <w:spacing w:before="0" w:after="0"/>
              <w:jc w:val="left"/>
              <w:textAlignment w:val="auto"/>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Quartu Sant'Elena</w:t>
            </w:r>
          </w:p>
        </w:tc>
        <w:tc>
          <w:tcPr>
            <w:tcW w:w="1560"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QUARTU2 ACN</w:t>
            </w:r>
          </w:p>
        </w:tc>
        <w:tc>
          <w:tcPr>
            <w:tcW w:w="1101"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43062</w:t>
            </w:r>
          </w:p>
        </w:tc>
        <w:tc>
          <w:tcPr>
            <w:tcW w:w="1200"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1473</w:t>
            </w:r>
          </w:p>
        </w:tc>
        <w:tc>
          <w:tcPr>
            <w:tcW w:w="1246"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67</w:t>
            </w:r>
          </w:p>
        </w:tc>
        <w:tc>
          <w:tcPr>
            <w:tcW w:w="808"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50</w:t>
            </w:r>
          </w:p>
        </w:tc>
        <w:tc>
          <w:tcPr>
            <w:tcW w:w="1251"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20426</w:t>
            </w:r>
          </w:p>
        </w:tc>
        <w:tc>
          <w:tcPr>
            <w:tcW w:w="1048" w:type="dxa"/>
            <w:tcBorders>
              <w:top w:val="single" w:sz="4" w:space="0" w:color="000000"/>
              <w:left w:val="single" w:sz="4" w:space="0" w:color="000000"/>
              <w:bottom w:val="single" w:sz="4" w:space="0" w:color="000000"/>
              <w:right w:val="single" w:sz="4" w:space="0" w:color="000000"/>
            </w:tcBorders>
            <w:vAlign w:val="cente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ALTA</w:t>
            </w:r>
          </w:p>
        </w:tc>
      </w:tr>
      <w:tr>
        <w:trPr>
          <w:trHeight w:val="300" w:hRule="atLeast"/>
          <w:cnfStyle w:val="000000100000" w:firstRow="0" w:lastRow="0" w:firstColumn="0" w:lastColumn="0" w:oddVBand="0" w:evenVBand="0" w:oddHBand="1" w:evenHBand="0" w:firstRowFirstColumn="0" w:firstRowLastColumn="0" w:lastRowFirstColumn="0" w:lastRowLastColumn="0"/>
        </w:trPr>
        <w:tc>
          <w:tcPr>
            <w:tcW w:w="1695"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color="auto" w:fill="E2EFD9" w:val="clear"/>
          </w:tcPr>
          <w:p>
            <w:pPr>
              <w:pStyle w:val="Normal"/>
              <w:widowControl/>
              <w:suppressAutoHyphens w:val="false"/>
              <w:spacing w:before="0" w:after="0"/>
              <w:jc w:val="left"/>
              <w:textAlignment w:val="auto"/>
              <w:rPr>
                <w:rFonts w:ascii="Arial" w:hAnsi="Arial" w:cs="Arial"/>
                <w:bCs w:val="false"/>
                <w:color w:val="000000"/>
                <w:sz w:val="14"/>
                <w:szCs w:val="16"/>
              </w:rPr>
            </w:pPr>
            <w:r>
              <w:rPr>
                <w:rFonts w:eastAsia="Times New Roman" w:cs="Arial" w:ascii="Arial" w:hAnsi="Arial"/>
                <w:b/>
                <w:bCs w:val="false"/>
                <w:color w:val="000000"/>
                <w:kern w:val="0"/>
                <w:sz w:val="14"/>
                <w:szCs w:val="16"/>
                <w:lang w:val="it-IT" w:eastAsia="it-IT" w:bidi="ar-SA"/>
              </w:rPr>
              <w:t>Quartu Sant'Elena</w:t>
            </w:r>
          </w:p>
        </w:tc>
        <w:tc>
          <w:tcPr>
            <w:tcW w:w="1560"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QUARTU3 ACN</w:t>
            </w:r>
          </w:p>
        </w:tc>
        <w:tc>
          <w:tcPr>
            <w:tcW w:w="1101"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95524</w:t>
            </w:r>
          </w:p>
        </w:tc>
        <w:tc>
          <w:tcPr>
            <w:tcW w:w="1200"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5173</w:t>
            </w:r>
          </w:p>
        </w:tc>
        <w:tc>
          <w:tcPr>
            <w:tcW w:w="1246"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67</w:t>
            </w:r>
          </w:p>
        </w:tc>
        <w:tc>
          <w:tcPr>
            <w:tcW w:w="808"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50</w:t>
            </w:r>
          </w:p>
        </w:tc>
        <w:tc>
          <w:tcPr>
            <w:tcW w:w="1251"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59056</w:t>
            </w:r>
          </w:p>
        </w:tc>
        <w:tc>
          <w:tcPr>
            <w:tcW w:w="1048" w:type="dxa"/>
            <w:tcBorders>
              <w:top w:val="single" w:sz="4" w:space="0" w:color="000000"/>
              <w:left w:val="single" w:sz="4" w:space="0" w:color="000000"/>
              <w:bottom w:val="single" w:sz="4" w:space="0" w:color="000000"/>
              <w:right w:val="single" w:sz="4" w:space="0" w:color="000000"/>
            </w:tcBorders>
            <w:shd w:color="auto" w:fill="E2EFD9"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14"/>
                <w:szCs w:val="16"/>
              </w:rPr>
            </w:pPr>
            <w:r>
              <w:rPr>
                <w:rFonts w:eastAsia="Times New Roman" w:cs="Arial" w:ascii="Arial" w:hAnsi="Arial"/>
                <w:bCs/>
                <w:color w:val="000000"/>
                <w:kern w:val="0"/>
                <w:sz w:val="14"/>
                <w:szCs w:val="16"/>
                <w:lang w:val="it-IT" w:eastAsia="it-IT" w:bidi="ar-SA"/>
              </w:rPr>
              <w:t>ALTA</w:t>
            </w:r>
          </w:p>
        </w:tc>
      </w:tr>
    </w:tbl>
    <w:p>
      <w:pPr>
        <w:pStyle w:val="Normal"/>
        <w:rPr>
          <w:b/>
          <w:sz w:val="16"/>
          <w:szCs w:val="18"/>
        </w:rPr>
      </w:pPr>
      <w:r>
        <w:rPr>
          <w:b/>
          <w:sz w:val="16"/>
          <w:szCs w:val="18"/>
        </w:rPr>
      </w:r>
    </w:p>
    <w:p>
      <w:pPr>
        <w:pStyle w:val="Normal"/>
        <w:rPr>
          <w:b/>
          <w:sz w:val="16"/>
          <w:szCs w:val="18"/>
        </w:rPr>
      </w:pPr>
      <w:r>
        <w:rPr>
          <w:b/>
          <w:sz w:val="16"/>
          <w:szCs w:val="18"/>
        </w:rPr>
      </w:r>
    </w:p>
    <w:p>
      <w:pPr>
        <w:pStyle w:val="Heading2"/>
        <w:numPr>
          <w:ilvl w:val="1"/>
          <w:numId w:val="1"/>
        </w:numPr>
        <w:ind w:hanging="340" w:left="340"/>
        <w:rPr/>
      </w:pPr>
      <w:bookmarkStart w:id="18" w:name="__RefHeading___Toc7022_2081070003"/>
      <w:bookmarkStart w:id="19" w:name="_Toc171964445"/>
      <w:bookmarkEnd w:id="18"/>
      <w:r>
        <w:rPr/>
        <w:t>Valutazione efficacia azioni di rimedio</w:t>
      </w:r>
      <w:bookmarkEnd w:id="19"/>
    </w:p>
    <w:p>
      <w:pPr>
        <w:pStyle w:val="Standard"/>
        <w:spacing w:lineRule="auto" w:line="360" w:beforeAutospacing="1" w:after="120"/>
        <w:rPr>
          <w:rFonts w:ascii="Arial" w:hAnsi="Arial" w:cs="Arial"/>
          <w:sz w:val="20"/>
          <w:szCs w:val="20"/>
        </w:rPr>
      </w:pPr>
      <w:r>
        <w:rPr>
          <w:rFonts w:cs="Arial" w:ascii="Arial" w:hAnsi="Arial"/>
          <w:sz w:val="20"/>
          <w:szCs w:val="20"/>
        </w:rPr>
        <w:t>A seguito di specifici incontri sono pervenute alcune proposte di interventi da parte di Comuni dell’Agglomerato, nello specifico:</w:t>
      </w:r>
    </w:p>
    <w:p>
      <w:pPr>
        <w:pStyle w:val="Oggetto"/>
        <w:numPr>
          <w:ilvl w:val="0"/>
          <w:numId w:val="9"/>
        </w:numPr>
        <w:suppressAutoHyphens w:val="false"/>
        <w:spacing w:lineRule="auto" w:line="360" w:beforeAutospacing="1" w:after="120"/>
        <w:jc w:val="both"/>
        <w:rPr>
          <w:rFonts w:ascii="Arial" w:hAnsi="Arial" w:cs="Arial"/>
          <w:b w:val="false"/>
          <w:sz w:val="20"/>
          <w:szCs w:val="20"/>
        </w:rPr>
      </w:pPr>
      <w:r>
        <w:rPr>
          <w:rFonts w:cs="Arial" w:ascii="Arial" w:hAnsi="Arial"/>
          <w:b w:val="false"/>
          <w:sz w:val="20"/>
          <w:szCs w:val="20"/>
        </w:rPr>
        <w:t xml:space="preserve">Comune di Assemini con nota Prot. 38765 del 13/11/2024 </w:t>
      </w:r>
    </w:p>
    <w:p>
      <w:pPr>
        <w:pStyle w:val="Oggetto"/>
        <w:numPr>
          <w:ilvl w:val="0"/>
          <w:numId w:val="9"/>
        </w:numPr>
        <w:suppressAutoHyphens w:val="false"/>
        <w:spacing w:lineRule="auto" w:line="360" w:before="0" w:after="120"/>
        <w:jc w:val="both"/>
        <w:rPr>
          <w:rFonts w:ascii="Arial" w:hAnsi="Arial"/>
          <w:b w:val="false"/>
          <w:sz w:val="20"/>
          <w:szCs w:val="20"/>
        </w:rPr>
      </w:pPr>
      <w:r>
        <w:rPr>
          <w:rFonts w:cs="Arial" w:ascii="Arial" w:hAnsi="Arial"/>
          <w:b w:val="false"/>
          <w:sz w:val="20"/>
          <w:szCs w:val="20"/>
        </w:rPr>
        <w:t>Comune di Quartu Sant</w:t>
      </w:r>
      <w:r>
        <w:rPr>
          <w:rFonts w:cs="Arial" w:ascii="Arial" w:hAnsi="Arial"/>
          <w:b w:val="false"/>
          <w:sz w:val="20"/>
          <w:szCs w:val="20"/>
          <w:lang w:eastAsia="hi-IN"/>
        </w:rPr>
        <w:t xml:space="preserve">’Elena </w:t>
      </w:r>
      <w:r>
        <w:rPr>
          <w:rFonts w:cs="Arial" w:ascii="Arial" w:hAnsi="Arial"/>
          <w:b w:val="false"/>
          <w:sz w:val="20"/>
          <w:szCs w:val="20"/>
        </w:rPr>
        <w:t xml:space="preserve">con nota di cui al Prot. 42597 </w:t>
      </w:r>
      <w:r>
        <w:rPr>
          <w:rFonts w:cs="Arial" w:ascii="Arial" w:hAnsi="Arial"/>
          <w:b w:val="false"/>
          <w:sz w:val="20"/>
          <w:szCs w:val="20"/>
          <w:lang w:eastAsia="hi-IN"/>
        </w:rPr>
        <w:t>del 9/12/2024</w:t>
      </w:r>
      <w:r>
        <w:rPr>
          <w:rFonts w:cs="Arial" w:ascii="Arial" w:hAnsi="Arial"/>
          <w:b w:val="false"/>
          <w:sz w:val="20"/>
          <w:szCs w:val="20"/>
        </w:rPr>
        <w:t xml:space="preserve">  </w:t>
      </w:r>
    </w:p>
    <w:p>
      <w:pPr>
        <w:pStyle w:val="Oggetto"/>
        <w:numPr>
          <w:ilvl w:val="0"/>
          <w:numId w:val="9"/>
        </w:numPr>
        <w:suppressAutoHyphens w:val="false"/>
        <w:spacing w:lineRule="auto" w:line="360" w:before="0" w:after="120"/>
        <w:jc w:val="both"/>
        <w:rPr>
          <w:rFonts w:ascii="Arial" w:hAnsi="Arial" w:cs="Arial"/>
          <w:b w:val="false"/>
          <w:sz w:val="20"/>
          <w:szCs w:val="20"/>
        </w:rPr>
      </w:pPr>
      <w:r>
        <w:rPr>
          <w:rFonts w:cs="Arial" w:ascii="Arial" w:hAnsi="Arial"/>
          <w:b w:val="false"/>
          <w:sz w:val="20"/>
          <w:szCs w:val="20"/>
        </w:rPr>
        <w:t>Comune di Cagliari</w:t>
      </w:r>
    </w:p>
    <w:p>
      <w:pPr>
        <w:pStyle w:val="Standard"/>
        <w:spacing w:lineRule="auto" w:line="360" w:beforeAutospacing="1" w:after="120"/>
        <w:jc w:val="both"/>
        <w:rPr>
          <w:rFonts w:ascii="Arial" w:hAnsi="Arial" w:cs="Arial"/>
          <w:sz w:val="20"/>
          <w:szCs w:val="20"/>
        </w:rPr>
      </w:pPr>
      <w:r>
        <w:rPr>
          <w:rFonts w:cs="Arial" w:ascii="Arial" w:hAnsi="Arial"/>
          <w:sz w:val="20"/>
          <w:szCs w:val="20"/>
        </w:rPr>
        <w:t>L’efficacia degli interventi proposti è stata valutata mediante la modellistica utilizzata per le elaborazioni della mappatura acustica strategica sia mediante stime delle attenuazioni derivanti dall’uso di asfalti fonoassorbenti da letteratura scientifica.</w:t>
      </w:r>
    </w:p>
    <w:p>
      <w:pPr>
        <w:pStyle w:val="Standard"/>
        <w:spacing w:lineRule="auto" w:line="360" w:beforeAutospacing="1" w:after="120"/>
        <w:rPr>
          <w:rFonts w:ascii="Arial" w:hAnsi="Arial" w:cs="Arial"/>
          <w:sz w:val="20"/>
          <w:szCs w:val="20"/>
        </w:rPr>
      </w:pPr>
      <w:r>
        <w:rPr>
          <w:rFonts w:cs="Arial" w:ascii="Arial" w:hAnsi="Arial"/>
          <w:sz w:val="20"/>
          <w:szCs w:val="20"/>
        </w:rPr>
      </w:r>
    </w:p>
    <w:p>
      <w:pPr>
        <w:pStyle w:val="Normal"/>
        <w:widowControl/>
        <w:suppressAutoHyphens w:val="false"/>
        <w:spacing w:lineRule="auto" w:line="360" w:beforeAutospacing="1" w:after="120"/>
        <w:textAlignment w:val="auto"/>
        <w:rPr>
          <w:rFonts w:ascii="Arial" w:hAnsi="Arial" w:cs="Arial"/>
          <w:kern w:val="0"/>
          <w:sz w:val="20"/>
          <w:szCs w:val="20"/>
          <w:lang w:bidi="ar-SA"/>
        </w:rPr>
      </w:pPr>
      <w:r>
        <w:rPr>
          <w:rFonts w:cs="Arial" w:ascii="Arial" w:hAnsi="Arial"/>
          <w:sz w:val="20"/>
          <w:szCs w:val="20"/>
        </w:rPr>
        <w:t>Nello specifico il Comune di Assemini propone</w:t>
      </w:r>
      <w:r>
        <w:rPr>
          <w:rFonts w:cs="Arial" w:ascii="Arial" w:hAnsi="Arial"/>
          <w:kern w:val="0"/>
          <w:sz w:val="20"/>
          <w:szCs w:val="20"/>
          <w:lang w:bidi="ar-SA"/>
        </w:rPr>
        <w:t>:</w:t>
      </w:r>
    </w:p>
    <w:p>
      <w:pPr>
        <w:pStyle w:val="ListParagraph"/>
        <w:numPr>
          <w:ilvl w:val="0"/>
          <w:numId w:val="7"/>
        </w:numPr>
        <w:suppressAutoHyphens w:val="false"/>
        <w:spacing w:lineRule="auto" w:line="360" w:beforeAutospacing="1" w:after="120"/>
        <w:textAlignment w:val="auto"/>
        <w:rPr>
          <w:kern w:val="0"/>
        </w:rPr>
      </w:pPr>
      <w:r>
        <w:rPr>
          <w:kern w:val="0"/>
        </w:rPr>
        <w:t>il rifacimento del manto stradale in conglomerato fonoassorbente per le vie individuate ad “alto rischio”. Nello specifico: Corso America (circa 440 m), via Fratelli Rosselli (circa 80 m). via S. Satta (circa 80 m);</w:t>
      </w:r>
    </w:p>
    <w:p>
      <w:pPr>
        <w:pStyle w:val="ListParagraph"/>
        <w:numPr>
          <w:ilvl w:val="0"/>
          <w:numId w:val="7"/>
        </w:numPr>
        <w:suppressAutoHyphens w:val="false"/>
        <w:spacing w:lineRule="auto" w:line="360" w:before="0" w:after="120"/>
        <w:textAlignment w:val="auto"/>
        <w:rPr>
          <w:kern w:val="0"/>
        </w:rPr>
      </w:pPr>
      <w:r>
        <w:rPr>
          <w:kern w:val="0"/>
        </w:rPr>
        <w:t>Realizzazione di due piattaforme stradali rialzate lungo Corso America;</w:t>
      </w:r>
    </w:p>
    <w:p>
      <w:pPr>
        <w:pStyle w:val="Standard"/>
        <w:numPr>
          <w:ilvl w:val="0"/>
          <w:numId w:val="7"/>
        </w:numPr>
        <w:spacing w:lineRule="auto" w:line="360" w:before="0" w:after="120"/>
        <w:rPr>
          <w:rFonts w:ascii="Arial" w:hAnsi="Arial" w:cs="Arial"/>
          <w:kern w:val="0"/>
          <w:sz w:val="20"/>
          <w:szCs w:val="20"/>
          <w:lang w:bidi="ar-SA"/>
        </w:rPr>
      </w:pPr>
      <w:r>
        <w:rPr>
          <w:rFonts w:cs="Arial" w:ascii="Arial" w:hAnsi="Arial"/>
          <w:kern w:val="0"/>
          <w:sz w:val="20"/>
          <w:szCs w:val="20"/>
          <w:lang w:bidi="ar-SA"/>
        </w:rPr>
        <w:t>Segnaletica stradale</w:t>
      </w:r>
    </w:p>
    <w:p>
      <w:pPr>
        <w:pStyle w:val="Standard"/>
        <w:spacing w:lineRule="auto" w:line="360" w:beforeAutospacing="1" w:after="120"/>
        <w:rPr>
          <w:rFonts w:ascii="Arial" w:hAnsi="Arial" w:cs="Arial"/>
          <w:kern w:val="0"/>
          <w:sz w:val="20"/>
          <w:szCs w:val="20"/>
          <w:lang w:bidi="ar-SA"/>
        </w:rPr>
      </w:pPr>
      <w:r>
        <w:rPr>
          <w:rFonts w:cs="Arial" w:ascii="Arial" w:hAnsi="Arial"/>
          <w:kern w:val="0"/>
          <w:sz w:val="20"/>
          <w:szCs w:val="20"/>
          <w:lang w:bidi="ar-SA"/>
        </w:rPr>
        <w:t>Il Comune di Quartu Sant’Elena propone:</w:t>
      </w:r>
    </w:p>
    <w:p>
      <w:pPr>
        <w:pStyle w:val="Standard"/>
        <w:numPr>
          <w:ilvl w:val="0"/>
          <w:numId w:val="8"/>
        </w:numPr>
        <w:spacing w:lineRule="auto" w:line="360" w:beforeAutospacing="1" w:after="120"/>
        <w:rPr>
          <w:rFonts w:ascii="Arial" w:hAnsi="Arial" w:cs="Arial"/>
          <w:kern w:val="0"/>
          <w:sz w:val="20"/>
          <w:szCs w:val="20"/>
          <w:lang w:bidi="ar-SA"/>
        </w:rPr>
      </w:pPr>
      <w:r>
        <w:rPr>
          <w:rFonts w:cs="Arial" w:ascii="Arial" w:hAnsi="Arial"/>
          <w:kern w:val="0"/>
          <w:sz w:val="20"/>
          <w:szCs w:val="20"/>
          <w:lang w:bidi="ar-SA"/>
        </w:rPr>
        <w:t>Posizionamento barriere verdi antirumore nell’Area Critica Quartu 1 AC e in particolare lungo via Mascagni e via Turati.:</w:t>
      </w:r>
    </w:p>
    <w:p>
      <w:pPr>
        <w:pStyle w:val="Standard"/>
        <w:spacing w:lineRule="auto" w:line="360" w:beforeAutospacing="1" w:after="120"/>
        <w:rPr>
          <w:rFonts w:ascii="Arial" w:hAnsi="Arial" w:cs="Arial"/>
          <w:sz w:val="20"/>
          <w:szCs w:val="20"/>
        </w:rPr>
      </w:pPr>
      <w:r>
        <w:rPr>
          <w:rFonts w:cs="Arial" w:ascii="Arial" w:hAnsi="Arial"/>
          <w:sz w:val="20"/>
          <w:szCs w:val="20"/>
        </w:rPr>
        <w:t>Il Comune di Cagliari propone interventi articolati in:</w:t>
      </w:r>
    </w:p>
    <w:p>
      <w:pPr>
        <w:pStyle w:val="ListParagraph"/>
        <w:numPr>
          <w:ilvl w:val="0"/>
          <w:numId w:val="8"/>
        </w:numPr>
        <w:suppressAutoHyphens w:val="false"/>
        <w:spacing w:lineRule="auto" w:line="360" w:beforeAutospacing="1" w:after="120"/>
        <w:textAlignment w:val="auto"/>
        <w:rPr>
          <w:kern w:val="0"/>
          <w:lang w:eastAsia="it-IT"/>
        </w:rPr>
      </w:pPr>
      <w:r>
        <w:rPr>
          <w:kern w:val="0"/>
          <w:lang w:eastAsia="it-IT"/>
        </w:rPr>
        <w:t xml:space="preserve">Sistemi di rallentamento della velocità </w:t>
      </w:r>
    </w:p>
    <w:p>
      <w:pPr>
        <w:pStyle w:val="ListParagraph"/>
        <w:numPr>
          <w:ilvl w:val="0"/>
          <w:numId w:val="8"/>
        </w:numPr>
        <w:suppressAutoHyphens w:val="false"/>
        <w:spacing w:lineRule="auto" w:line="360" w:before="0" w:after="120"/>
        <w:textAlignment w:val="auto"/>
        <w:rPr>
          <w:kern w:val="0"/>
          <w:lang w:eastAsia="it-IT"/>
        </w:rPr>
      </w:pPr>
      <w:r>
        <w:rPr>
          <w:kern w:val="0"/>
          <w:lang w:eastAsia="it-IT"/>
        </w:rPr>
        <w:t>Istituzione di nuove ZONE 30</w:t>
      </w:r>
    </w:p>
    <w:p>
      <w:pPr>
        <w:pStyle w:val="ListParagraph"/>
        <w:numPr>
          <w:ilvl w:val="0"/>
          <w:numId w:val="8"/>
        </w:numPr>
        <w:suppressAutoHyphens w:val="false"/>
        <w:spacing w:lineRule="auto" w:line="360" w:before="0" w:after="120"/>
        <w:textAlignment w:val="auto"/>
        <w:rPr>
          <w:kern w:val="0"/>
          <w:lang w:eastAsia="it-IT"/>
        </w:rPr>
      </w:pPr>
      <w:r>
        <w:rPr>
          <w:kern w:val="0"/>
          <w:lang w:eastAsia="it-IT"/>
        </w:rPr>
        <w:t>Installazione di bitumi fonoassorbenti</w:t>
      </w:r>
    </w:p>
    <w:p>
      <w:pPr>
        <w:pStyle w:val="Normal"/>
        <w:rPr>
          <w:b/>
          <w:sz w:val="16"/>
          <w:szCs w:val="18"/>
        </w:rPr>
      </w:pPr>
      <w:r>
        <w:rPr>
          <w:b/>
          <w:sz w:val="16"/>
          <w:szCs w:val="18"/>
        </w:rPr>
      </w:r>
    </w:p>
    <w:p>
      <w:pPr>
        <w:pStyle w:val="Standard"/>
        <w:rPr>
          <w:rFonts w:ascii="Arial" w:hAnsi="Arial" w:cs="Arial"/>
          <w:sz w:val="20"/>
          <w:szCs w:val="20"/>
        </w:rPr>
      </w:pPr>
      <w:r>
        <w:rPr>
          <w:rFonts w:cs="Arial" w:ascii="Arial" w:hAnsi="Arial"/>
          <w:sz w:val="20"/>
          <w:szCs w:val="20"/>
        </w:rPr>
        <w:t>La tabella seguente riporta il riepilogo della riduzione di popolazione esposta a seguito degli interventi proposti</w:t>
      </w:r>
    </w:p>
    <w:p>
      <w:pPr>
        <w:pStyle w:val="Normal"/>
        <w:rPr>
          <w:rFonts w:ascii="Arial" w:hAnsi="Arial" w:cs="Arial"/>
          <w:sz w:val="20"/>
          <w:szCs w:val="20"/>
        </w:rPr>
      </w:pPr>
      <w:r>
        <w:rPr>
          <w:rFonts w:cs="Arial" w:ascii="Arial" w:hAnsi="Arial"/>
          <w:sz w:val="20"/>
          <w:szCs w:val="20"/>
        </w:rPr>
      </w:r>
      <w:r>
        <w:br w:type="page"/>
      </w:r>
    </w:p>
    <w:p>
      <w:pPr>
        <w:pStyle w:val="Standard"/>
        <w:spacing w:before="0" w:after="0"/>
        <w:rPr>
          <w:rFonts w:ascii="Arial" w:hAnsi="Arial" w:cs="Arial"/>
          <w:sz w:val="20"/>
          <w:szCs w:val="20"/>
        </w:rPr>
      </w:pPr>
      <w:r>
        <w:rPr>
          <w:rFonts w:cs="Arial" w:ascii="Arial" w:hAnsi="Arial"/>
          <w:sz w:val="20"/>
          <w:szCs w:val="20"/>
        </w:rPr>
      </w:r>
    </w:p>
    <w:p>
      <w:pPr>
        <w:pStyle w:val="Standard"/>
        <w:rPr>
          <w:rFonts w:ascii="Arial" w:hAnsi="Arial" w:cs="Arial"/>
          <w:sz w:val="20"/>
          <w:szCs w:val="20"/>
        </w:rPr>
      </w:pPr>
      <w:r>
        <w:rPr>
          <w:rFonts w:cs="Arial" w:ascii="Arial" w:hAnsi="Arial"/>
          <w:sz w:val="20"/>
          <w:szCs w:val="20"/>
        </w:rPr>
      </w:r>
    </w:p>
    <w:tbl>
      <w:tblPr>
        <w:tblStyle w:val="Tabellagriglia5scura-colore6"/>
        <w:tblW w:w="8926" w:type="dxa"/>
        <w:jc w:val="left"/>
        <w:tblInd w:w="-5" w:type="dxa"/>
        <w:shd w:fill="D9F2D0" w:val="clear"/>
        <w:tblLayout w:type="fixed"/>
        <w:tblCellMar>
          <w:top w:w="0" w:type="dxa"/>
          <w:left w:w="108" w:type="dxa"/>
          <w:bottom w:w="0" w:type="dxa"/>
          <w:right w:w="108" w:type="dxa"/>
        </w:tblCellMar>
        <w:tblLook w:firstRow="1" w:noVBand="1" w:lastRow="0" w:firstColumn="1" w:lastColumn="0" w:noHBand="0" w:val="04a0"/>
      </w:tblPr>
      <w:tblGrid>
        <w:gridCol w:w="2700"/>
        <w:gridCol w:w="1829"/>
        <w:gridCol w:w="1420"/>
        <w:gridCol w:w="1415"/>
        <w:gridCol w:w="1562"/>
      </w:tblGrid>
      <w:tr>
        <w:trPr>
          <w:trHeight w:val="300" w:hRule="atLeast"/>
          <w:cnfStyle w:val="100000000000" w:firstRow="1" w:lastRow="0" w:firstColumn="0" w:lastColumn="0" w:oddVBand="0" w:evenVBand="0" w:oddHBand="0" w:evenHBand="0" w:firstRowFirstColumn="0" w:firstRowLastColumn="0" w:lastRowFirstColumn="0" w:lastRowLastColumn="0"/>
        </w:trPr>
        <w:tc>
          <w:tcPr>
            <w:tcW w:w="2700" w:type="dxa"/>
            <w:vMerge w:val="restart"/>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nil"/>
              <w:right w:val="nil"/>
            </w:tcBorders>
            <w:shd w:color="auto" w:fill="4EA72E" w:themeFill="accent6" w:val="clear"/>
            <w:vAlign w:val="center"/>
          </w:tcPr>
          <w:p>
            <w:pPr>
              <w:pStyle w:val="Normal"/>
              <w:widowControl/>
              <w:suppressAutoHyphens w:val="false"/>
              <w:spacing w:before="0" w:after="0"/>
              <w:jc w:val="center"/>
              <w:textAlignment w:val="auto"/>
              <w:rPr>
                <w:rFonts w:eastAsia="Times New Roman" w:cs="Times New Roman"/>
                <w:kern w:val="0"/>
                <w:lang w:eastAsia="it-IT" w:bidi="ar-SA"/>
              </w:rPr>
            </w:pPr>
            <w:r>
              <w:rPr>
                <w:rFonts w:eastAsia="Times New Roman" w:cs="Calibri" w:ascii="Calibri" w:hAnsi="Calibri"/>
                <w:b/>
                <w:bCs/>
                <w:color w:val="000000"/>
                <w:kern w:val="0"/>
                <w:sz w:val="22"/>
                <w:szCs w:val="22"/>
                <w:lang w:val="it-IT" w:eastAsia="it-IT" w:bidi="ar-SA"/>
              </w:rPr>
              <w:t>Comune</w:t>
            </w:r>
          </w:p>
        </w:tc>
        <w:tc>
          <w:tcPr>
            <w:tcW w:w="3249" w:type="dxa"/>
            <w:gridSpan w:val="2"/>
            <w:tcBorders>
              <w:top w:val="single" w:sz="4" w:space="0" w:color="000000"/>
              <w:left w:val="nil"/>
              <w:bottom w:val="nil"/>
              <w:right w:val="nil"/>
            </w:tcBorders>
            <w:shd w:color="auto" w:fill="4EA72E" w:themeFill="accent6" w:val="clear"/>
            <w:vAlign w:val="center"/>
          </w:tcPr>
          <w:p>
            <w:pPr>
              <w:pStyle w:val="Normal"/>
              <w:widowControl/>
              <w:suppressAutoHyphens w:val="false"/>
              <w:spacing w:before="0" w:after="0"/>
              <w:jc w:val="center"/>
              <w:textAlignment w:val="auto"/>
              <w:cnfStyle w:val="100000000000" w:firstRow="1" w:lastRow="0" w:firstColumn="0" w:lastColumn="0" w:oddVBand="0" w:evenVBand="0" w:oddHBand="0"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b/>
                <w:bCs/>
                <w:color w:val="000000"/>
                <w:kern w:val="0"/>
                <w:sz w:val="22"/>
                <w:szCs w:val="22"/>
                <w:lang w:val="it-IT" w:eastAsia="it-IT" w:bidi="ar-SA"/>
              </w:rPr>
              <w:t>LDEN</w:t>
            </w:r>
          </w:p>
        </w:tc>
        <w:tc>
          <w:tcPr>
            <w:tcW w:w="2977" w:type="dxa"/>
            <w:gridSpan w:val="2"/>
            <w:tcBorders>
              <w:top w:val="single" w:sz="4" w:space="0" w:color="000000"/>
              <w:left w:val="nil"/>
              <w:bottom w:val="nil"/>
              <w:right w:val="single" w:sz="4" w:space="0" w:color="000000"/>
            </w:tcBorders>
            <w:shd w:color="auto" w:fill="4EA72E" w:themeFill="accent6" w:val="clear"/>
            <w:vAlign w:val="center"/>
          </w:tcPr>
          <w:p>
            <w:pPr>
              <w:pStyle w:val="Normal"/>
              <w:widowControl/>
              <w:suppressAutoHyphens w:val="false"/>
              <w:spacing w:before="0" w:after="0"/>
              <w:jc w:val="center"/>
              <w:textAlignment w:val="auto"/>
              <w:cnfStyle w:val="100000000000" w:firstRow="1" w:lastRow="0" w:firstColumn="0" w:lastColumn="0" w:oddVBand="0" w:evenVBand="0" w:oddHBand="0"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b/>
                <w:bCs/>
                <w:color w:val="000000"/>
                <w:kern w:val="0"/>
                <w:sz w:val="22"/>
                <w:szCs w:val="22"/>
                <w:lang w:val="it-IT" w:eastAsia="it-IT" w:bidi="ar-SA"/>
              </w:rPr>
              <w:t>LNIGHT</w:t>
            </w:r>
          </w:p>
        </w:tc>
      </w:tr>
      <w:tr>
        <w:trPr>
          <w:trHeight w:val="1800" w:hRule="atLeast"/>
          <w:cnfStyle w:val="000000100000" w:firstRow="0" w:lastRow="0" w:firstColumn="0" w:lastColumn="0" w:oddVBand="0" w:evenVBand="0" w:oddHBand="1" w:evenHBand="0" w:firstRowFirstColumn="0" w:firstRowLastColumn="0" w:lastRowFirstColumn="0" w:lastRowLastColumn="0"/>
        </w:trPr>
        <w:tc>
          <w:tcPr>
            <w:tcW w:w="2700" w:type="dxa"/>
            <w:vMerge w:val="continue"/>
            <w:cnfStyle w:val="001000000000" w:firstRow="0" w:lastRow="0" w:firstColumn="1" w:lastColumn="0" w:oddVBand="0" w:evenVBand="0" w:oddHBand="0" w:evenHBand="0" w:firstRowFirstColumn="0" w:firstRowLastColumn="0" w:lastRowFirstColumn="0" w:lastRowLastColumn="0"/>
            <w:tcBorders>
              <w:left w:val="single" w:sz="4" w:space="0" w:color="000000"/>
              <w:right w:val="nil"/>
            </w:tcBorders>
            <w:shd w:color="auto" w:fill="4EA72E" w:themeFill="accent6" w:val="clear"/>
            <w:vAlign w:val="center"/>
          </w:tcPr>
          <w:p>
            <w:pPr>
              <w:pStyle w:val="Normal"/>
              <w:widowControl/>
              <w:suppressAutoHyphens w:val="false"/>
              <w:spacing w:before="0" w:after="0"/>
              <w:jc w:val="center"/>
              <w:textAlignment w:val="auto"/>
              <w:rPr>
                <w:rFonts w:ascii="Calibri" w:hAnsi="Calibri" w:eastAsia="Times New Roman" w:cs="Calibri"/>
                <w:color w:val="000000"/>
                <w:kern w:val="0"/>
                <w:sz w:val="22"/>
                <w:szCs w:val="22"/>
                <w:lang w:eastAsia="it-IT" w:bidi="ar-SA"/>
              </w:rPr>
            </w:pPr>
            <w:r>
              <w:rPr>
                <w:rFonts w:eastAsia="Times New Roman" w:cs="Calibri" w:ascii="Calibri" w:hAnsi="Calibri"/>
                <w:b/>
                <w:bCs/>
                <w:color w:val="000000"/>
                <w:kern w:val="0"/>
                <w:sz w:val="22"/>
                <w:szCs w:val="22"/>
                <w:lang w:eastAsia="it-IT" w:bidi="ar-SA"/>
              </w:rPr>
            </w:r>
          </w:p>
        </w:tc>
        <w:tc>
          <w:tcPr>
            <w:tcW w:w="1829" w:type="dxa"/>
            <w:tcBorders>
              <w:top w:val="single" w:sz="4" w:space="0" w:color="000000"/>
              <w:left w:val="single" w:sz="4" w:space="0" w:color="000000"/>
              <w:bottom w:val="single" w:sz="4" w:space="0" w:color="000000"/>
              <w:right w:val="single" w:sz="4" w:space="0" w:color="000000"/>
            </w:tcBorders>
            <w:shd w:color="auto" w:fill="B3E5A1" w:themeFill="accent6" w:themeFillTint="66"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color w:val="000000"/>
                <w:kern w:val="0"/>
                <w:sz w:val="22"/>
                <w:szCs w:val="22"/>
                <w:lang w:val="it-IT" w:eastAsia="it-IT" w:bidi="ar-SA"/>
              </w:rPr>
              <w:t>popolazione esposta pre interventi</w:t>
            </w:r>
          </w:p>
        </w:tc>
        <w:tc>
          <w:tcPr>
            <w:tcW w:w="1420" w:type="dxa"/>
            <w:tcBorders>
              <w:top w:val="single" w:sz="4" w:space="0" w:color="000000"/>
              <w:left w:val="single" w:sz="4" w:space="0" w:color="000000"/>
              <w:bottom w:val="single" w:sz="4" w:space="0" w:color="000000"/>
              <w:right w:val="single" w:sz="4" w:space="0" w:color="000000"/>
            </w:tcBorders>
            <w:shd w:color="auto" w:fill="B3E5A1" w:themeFill="accent6" w:themeFillTint="66"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color w:val="000000"/>
                <w:kern w:val="0"/>
                <w:sz w:val="22"/>
                <w:szCs w:val="22"/>
                <w:lang w:val="it-IT" w:eastAsia="it-IT" w:bidi="ar-SA"/>
              </w:rPr>
              <w:t>popolazione esposta post interventi</w:t>
            </w:r>
          </w:p>
        </w:tc>
        <w:tc>
          <w:tcPr>
            <w:tcW w:w="1415" w:type="dxa"/>
            <w:tcBorders>
              <w:top w:val="single" w:sz="4" w:space="0" w:color="000000"/>
              <w:left w:val="single" w:sz="4" w:space="0" w:color="000000"/>
              <w:bottom w:val="single" w:sz="4" w:space="0" w:color="000000"/>
              <w:right w:val="single" w:sz="4" w:space="0" w:color="000000"/>
            </w:tcBorders>
            <w:shd w:color="auto" w:fill="B3E5A1" w:themeFill="accent6" w:themeFillTint="66"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color w:val="000000"/>
                <w:kern w:val="0"/>
                <w:sz w:val="22"/>
                <w:szCs w:val="22"/>
                <w:lang w:val="it-IT" w:eastAsia="it-IT" w:bidi="ar-SA"/>
              </w:rPr>
              <w:t>popolazione esposta pre interventi</w:t>
            </w:r>
          </w:p>
        </w:tc>
        <w:tc>
          <w:tcPr>
            <w:tcW w:w="1562" w:type="dxa"/>
            <w:tcBorders>
              <w:top w:val="single" w:sz="4" w:space="0" w:color="000000"/>
              <w:left w:val="single" w:sz="4" w:space="0" w:color="000000"/>
              <w:bottom w:val="single" w:sz="4" w:space="0" w:color="000000"/>
              <w:right w:val="single" w:sz="4" w:space="0" w:color="000000"/>
            </w:tcBorders>
            <w:shd w:color="auto" w:fill="B3E5A1" w:themeFill="accent6" w:themeFillTint="66" w:val="clear"/>
            <w:vAlign w:val="cente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color w:val="000000"/>
                <w:kern w:val="0"/>
                <w:sz w:val="22"/>
                <w:szCs w:val="22"/>
                <w:lang w:val="it-IT" w:eastAsia="it-IT" w:bidi="ar-SA"/>
              </w:rPr>
              <w:t>popolazione esposta post interventi</w:t>
            </w:r>
          </w:p>
        </w:tc>
      </w:tr>
      <w:tr>
        <w:trPr>
          <w:trHeight w:val="300" w:hRule="atLeast"/>
        </w:trPr>
        <w:tc>
          <w:tcPr>
            <w:tcW w:w="2700" w:type="dxa"/>
            <w:cnfStyle w:val="001000000000" w:firstRow="0" w:lastRow="0" w:firstColumn="1" w:lastColumn="0" w:oddVBand="0" w:evenVBand="0" w:oddHBand="0" w:evenHBand="0" w:firstRowFirstColumn="0" w:firstRowLastColumn="0" w:lastRowFirstColumn="0" w:lastRowLastColumn="0"/>
            <w:tcBorders>
              <w:right w:val="nil"/>
            </w:tcBorders>
            <w:shd w:color="auto" w:fill="4EA72E" w:themeFill="accent6" w:val="clear"/>
          </w:tcPr>
          <w:p>
            <w:pPr>
              <w:pStyle w:val="Normal"/>
              <w:widowControl/>
              <w:suppressAutoHyphens w:val="false"/>
              <w:spacing w:before="0" w:after="0"/>
              <w:jc w:val="center"/>
              <w:textAlignment w:val="auto"/>
              <w:rPr>
                <w:rFonts w:ascii="Calibri" w:hAnsi="Calibri" w:eastAsia="Times New Roman" w:cs="Calibri"/>
                <w:color w:val="000000"/>
                <w:kern w:val="0"/>
                <w:sz w:val="22"/>
                <w:szCs w:val="22"/>
                <w:lang w:eastAsia="it-IT" w:bidi="ar-SA"/>
              </w:rPr>
            </w:pPr>
            <w:r>
              <w:rPr>
                <w:rFonts w:eastAsia="Times New Roman" w:cs="Calibri" w:ascii="Calibri" w:hAnsi="Calibri"/>
                <w:b/>
                <w:bCs/>
                <w:color w:val="000000"/>
                <w:kern w:val="0"/>
                <w:sz w:val="22"/>
                <w:szCs w:val="22"/>
                <w:lang w:val="it-IT" w:eastAsia="it-IT" w:bidi="ar-SA"/>
              </w:rPr>
              <w:t>Assemini</w:t>
            </w:r>
          </w:p>
        </w:tc>
        <w:tc>
          <w:tcPr>
            <w:tcW w:w="1829" w:type="dxa"/>
            <w:tcBorders>
              <w:top w:val="single" w:sz="4" w:space="0" w:color="000000"/>
              <w:left w:val="single" w:sz="4" w:space="0" w:color="000000"/>
              <w:bottom w:val="single" w:sz="4" w:space="0" w:color="000000"/>
              <w:right w:val="single" w:sz="4" w:space="0" w:color="000000"/>
            </w:tcBorders>
            <w:shd w:color="auto" w:fill="D9F2D0" w:themeFill="accent6" w:themeFillTint="33" w:val="clea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color w:val="000000"/>
                <w:kern w:val="0"/>
                <w:sz w:val="22"/>
                <w:szCs w:val="22"/>
                <w:lang w:val="it-IT" w:eastAsia="it-IT" w:bidi="ar-SA"/>
              </w:rPr>
              <w:t>997</w:t>
            </w:r>
          </w:p>
        </w:tc>
        <w:tc>
          <w:tcPr>
            <w:tcW w:w="1420" w:type="dxa"/>
            <w:tcBorders>
              <w:top w:val="single" w:sz="4" w:space="0" w:color="000000"/>
              <w:left w:val="single" w:sz="4" w:space="0" w:color="000000"/>
              <w:bottom w:val="single" w:sz="4" w:space="0" w:color="000000"/>
              <w:right w:val="single" w:sz="4" w:space="0" w:color="000000"/>
            </w:tcBorders>
            <w:shd w:color="auto" w:fill="D9F2D0" w:themeFill="accent6" w:themeFillTint="33" w:val="clea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color w:val="000000"/>
                <w:kern w:val="0"/>
                <w:sz w:val="22"/>
                <w:szCs w:val="22"/>
                <w:lang w:val="it-IT" w:eastAsia="it-IT" w:bidi="ar-SA"/>
              </w:rPr>
              <w:t>36</w:t>
            </w:r>
          </w:p>
        </w:tc>
        <w:tc>
          <w:tcPr>
            <w:tcW w:w="1415" w:type="dxa"/>
            <w:tcBorders>
              <w:top w:val="single" w:sz="4" w:space="0" w:color="000000"/>
              <w:left w:val="single" w:sz="4" w:space="0" w:color="000000"/>
              <w:bottom w:val="single" w:sz="4" w:space="0" w:color="000000"/>
              <w:right w:val="single" w:sz="4" w:space="0" w:color="000000"/>
            </w:tcBorders>
            <w:shd w:color="auto" w:fill="D9F2D0" w:themeFill="accent6" w:themeFillTint="33" w:val="clea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color w:val="000000"/>
                <w:kern w:val="0"/>
                <w:sz w:val="22"/>
                <w:szCs w:val="22"/>
                <w:lang w:val="it-IT" w:eastAsia="it-IT" w:bidi="ar-SA"/>
              </w:rPr>
              <w:t>595</w:t>
            </w:r>
          </w:p>
        </w:tc>
        <w:tc>
          <w:tcPr>
            <w:tcW w:w="1562" w:type="dxa"/>
            <w:tcBorders>
              <w:top w:val="single" w:sz="4" w:space="0" w:color="000000"/>
              <w:left w:val="single" w:sz="4" w:space="0" w:color="000000"/>
              <w:bottom w:val="single" w:sz="4" w:space="0" w:color="000000"/>
              <w:right w:val="single" w:sz="4" w:space="0" w:color="000000"/>
            </w:tcBorders>
            <w:shd w:color="auto" w:fill="D9F2D0" w:themeFill="accent6" w:themeFillTint="33" w:val="clea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color w:val="000000"/>
                <w:kern w:val="0"/>
                <w:sz w:val="22"/>
                <w:szCs w:val="22"/>
                <w:lang w:val="it-IT" w:eastAsia="it-IT" w:bidi="ar-SA"/>
              </w:rPr>
              <w:t>0</w:t>
            </w:r>
          </w:p>
        </w:tc>
      </w:tr>
      <w:tr>
        <w:trPr>
          <w:trHeight w:val="300" w:hRule="atLeast"/>
          <w:cnfStyle w:val="000000100000" w:firstRow="0" w:lastRow="0" w:firstColumn="0" w:lastColumn="0" w:oddVBand="0" w:evenVBand="0" w:oddHBand="1" w:evenHBand="0" w:firstRowFirstColumn="0" w:firstRowLastColumn="0" w:lastRowFirstColumn="0" w:lastRowLastColumn="0"/>
        </w:trPr>
        <w:tc>
          <w:tcPr>
            <w:tcW w:w="2700" w:type="dxa"/>
            <w:cnfStyle w:val="001000000000" w:firstRow="0" w:lastRow="0" w:firstColumn="1" w:lastColumn="0" w:oddVBand="0" w:evenVBand="0" w:oddHBand="0" w:evenHBand="0" w:firstRowFirstColumn="0" w:firstRowLastColumn="0" w:lastRowFirstColumn="0" w:lastRowLastColumn="0"/>
            <w:tcBorders>
              <w:right w:val="nil"/>
            </w:tcBorders>
            <w:shd w:color="auto" w:fill="4EA72E" w:themeFill="accent6" w:val="clear"/>
          </w:tcPr>
          <w:p>
            <w:pPr>
              <w:pStyle w:val="Normal"/>
              <w:widowControl/>
              <w:suppressAutoHyphens w:val="false"/>
              <w:spacing w:before="0" w:after="0"/>
              <w:jc w:val="center"/>
              <w:textAlignment w:val="auto"/>
              <w:rPr>
                <w:rFonts w:ascii="Calibri" w:hAnsi="Calibri" w:eastAsia="Times New Roman" w:cs="Calibri"/>
                <w:color w:val="000000"/>
                <w:kern w:val="0"/>
                <w:sz w:val="22"/>
                <w:szCs w:val="22"/>
                <w:lang w:eastAsia="it-IT" w:bidi="ar-SA"/>
              </w:rPr>
            </w:pPr>
            <w:r>
              <w:rPr>
                <w:rFonts w:eastAsia="Times New Roman" w:cs="Calibri" w:ascii="Calibri" w:hAnsi="Calibri"/>
                <w:b/>
                <w:bCs/>
                <w:color w:val="000000"/>
                <w:kern w:val="0"/>
                <w:sz w:val="22"/>
                <w:szCs w:val="22"/>
                <w:lang w:val="it-IT" w:eastAsia="it-IT" w:bidi="ar-SA"/>
              </w:rPr>
              <w:t>Quartu Sant'Elena</w:t>
            </w:r>
          </w:p>
        </w:tc>
        <w:tc>
          <w:tcPr>
            <w:tcW w:w="1829" w:type="dxa"/>
            <w:tcBorders>
              <w:top w:val="single" w:sz="4" w:space="0" w:color="000000"/>
              <w:left w:val="single" w:sz="4" w:space="0" w:color="000000"/>
              <w:bottom w:val="single" w:sz="4" w:space="0" w:color="000000"/>
              <w:right w:val="single" w:sz="4" w:space="0" w:color="000000"/>
            </w:tcBorders>
            <w:shd w:color="auto" w:fill="B3E5A1" w:themeFill="accent6" w:themeFillTint="66" w:val="clea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color w:val="000000"/>
                <w:kern w:val="0"/>
                <w:sz w:val="22"/>
                <w:szCs w:val="22"/>
                <w:lang w:val="it-IT" w:eastAsia="it-IT" w:bidi="ar-SA"/>
              </w:rPr>
              <w:t>9355</w:t>
            </w:r>
          </w:p>
        </w:tc>
        <w:tc>
          <w:tcPr>
            <w:tcW w:w="1420" w:type="dxa"/>
            <w:tcBorders>
              <w:top w:val="single" w:sz="4" w:space="0" w:color="000000"/>
              <w:left w:val="single" w:sz="4" w:space="0" w:color="000000"/>
              <w:bottom w:val="single" w:sz="4" w:space="0" w:color="000000"/>
              <w:right w:val="single" w:sz="4" w:space="0" w:color="000000"/>
            </w:tcBorders>
            <w:shd w:color="auto" w:fill="B3E5A1" w:themeFill="accent6" w:themeFillTint="66" w:val="clea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color w:val="000000"/>
                <w:kern w:val="0"/>
                <w:sz w:val="22"/>
                <w:szCs w:val="22"/>
                <w:lang w:val="it-IT" w:eastAsia="it-IT" w:bidi="ar-SA"/>
              </w:rPr>
              <w:t>0</w:t>
            </w:r>
          </w:p>
        </w:tc>
        <w:tc>
          <w:tcPr>
            <w:tcW w:w="1415" w:type="dxa"/>
            <w:tcBorders>
              <w:top w:val="single" w:sz="4" w:space="0" w:color="000000"/>
              <w:left w:val="single" w:sz="4" w:space="0" w:color="000000"/>
              <w:bottom w:val="single" w:sz="4" w:space="0" w:color="000000"/>
              <w:right w:val="single" w:sz="4" w:space="0" w:color="000000"/>
            </w:tcBorders>
            <w:shd w:color="auto" w:fill="B3E5A1" w:themeFill="accent6" w:themeFillTint="66" w:val="clea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color w:val="000000"/>
                <w:kern w:val="0"/>
                <w:sz w:val="22"/>
                <w:szCs w:val="22"/>
                <w:lang w:val="it-IT" w:eastAsia="it-IT" w:bidi="ar-SA"/>
              </w:rPr>
              <w:t>9593</w:t>
            </w:r>
          </w:p>
        </w:tc>
        <w:tc>
          <w:tcPr>
            <w:tcW w:w="1562" w:type="dxa"/>
            <w:tcBorders>
              <w:top w:val="single" w:sz="4" w:space="0" w:color="000000"/>
              <w:left w:val="single" w:sz="4" w:space="0" w:color="000000"/>
              <w:bottom w:val="single" w:sz="4" w:space="0" w:color="000000"/>
              <w:right w:val="single" w:sz="4" w:space="0" w:color="000000"/>
            </w:tcBorders>
            <w:shd w:color="auto" w:fill="B3E5A1" w:themeFill="accent6" w:themeFillTint="66" w:val="clea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color w:val="000000"/>
                <w:kern w:val="0"/>
                <w:sz w:val="22"/>
                <w:szCs w:val="22"/>
                <w:lang w:val="it-IT" w:eastAsia="it-IT" w:bidi="ar-SA"/>
              </w:rPr>
              <w:t>9593</w:t>
            </w:r>
          </w:p>
        </w:tc>
      </w:tr>
      <w:tr>
        <w:trPr>
          <w:trHeight w:val="300" w:hRule="atLeast"/>
        </w:trPr>
        <w:tc>
          <w:tcPr>
            <w:tcW w:w="2700" w:type="dxa"/>
            <w:cnfStyle w:val="001000000000" w:firstRow="0" w:lastRow="0" w:firstColumn="1" w:lastColumn="0" w:oddVBand="0" w:evenVBand="0" w:oddHBand="0" w:evenHBand="0" w:firstRowFirstColumn="0" w:firstRowLastColumn="0" w:lastRowFirstColumn="0" w:lastRowLastColumn="0"/>
            <w:tcBorders>
              <w:right w:val="nil"/>
            </w:tcBorders>
            <w:shd w:color="auto" w:fill="4EA72E" w:themeFill="accent6" w:val="clear"/>
          </w:tcPr>
          <w:p>
            <w:pPr>
              <w:pStyle w:val="Normal"/>
              <w:widowControl/>
              <w:suppressAutoHyphens w:val="false"/>
              <w:spacing w:before="0" w:after="0"/>
              <w:jc w:val="center"/>
              <w:textAlignment w:val="auto"/>
              <w:rPr>
                <w:rFonts w:ascii="Calibri" w:hAnsi="Calibri" w:eastAsia="Times New Roman" w:cs="Calibri"/>
                <w:color w:val="000000"/>
                <w:kern w:val="0"/>
                <w:sz w:val="22"/>
                <w:szCs w:val="22"/>
                <w:lang w:eastAsia="it-IT" w:bidi="ar-SA"/>
              </w:rPr>
            </w:pPr>
            <w:r>
              <w:rPr>
                <w:rFonts w:eastAsia="Times New Roman" w:cs="Calibri" w:ascii="Calibri" w:hAnsi="Calibri"/>
                <w:b/>
                <w:bCs/>
                <w:color w:val="000000"/>
                <w:kern w:val="0"/>
                <w:sz w:val="22"/>
                <w:szCs w:val="22"/>
                <w:lang w:val="it-IT" w:eastAsia="it-IT" w:bidi="ar-SA"/>
              </w:rPr>
              <w:t>Cagliari</w:t>
            </w:r>
          </w:p>
        </w:tc>
        <w:tc>
          <w:tcPr>
            <w:tcW w:w="1829" w:type="dxa"/>
            <w:tcBorders>
              <w:top w:val="single" w:sz="4" w:space="0" w:color="000000"/>
              <w:left w:val="single" w:sz="4" w:space="0" w:color="000000"/>
              <w:bottom w:val="single" w:sz="4" w:space="0" w:color="000000"/>
              <w:right w:val="single" w:sz="4" w:space="0" w:color="000000"/>
            </w:tcBorders>
            <w:shd w:color="auto" w:fill="D9F2D0" w:themeFill="accent6" w:themeFillTint="33" w:val="clea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color w:val="000000"/>
                <w:kern w:val="0"/>
                <w:sz w:val="22"/>
                <w:szCs w:val="22"/>
                <w:lang w:val="it-IT" w:eastAsia="it-IT" w:bidi="ar-SA"/>
              </w:rPr>
              <w:t>11101</w:t>
            </w:r>
          </w:p>
        </w:tc>
        <w:tc>
          <w:tcPr>
            <w:tcW w:w="1420" w:type="dxa"/>
            <w:tcBorders>
              <w:top w:val="single" w:sz="4" w:space="0" w:color="000000"/>
              <w:left w:val="single" w:sz="4" w:space="0" w:color="000000"/>
              <w:bottom w:val="single" w:sz="4" w:space="0" w:color="000000"/>
              <w:right w:val="single" w:sz="4" w:space="0" w:color="000000"/>
            </w:tcBorders>
            <w:shd w:color="auto" w:fill="D9F2D0" w:themeFill="accent6" w:themeFillTint="33" w:val="clea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color w:val="000000"/>
                <w:kern w:val="0"/>
                <w:sz w:val="22"/>
                <w:szCs w:val="22"/>
                <w:lang w:val="it-IT" w:eastAsia="it-IT" w:bidi="ar-SA"/>
              </w:rPr>
              <w:t>2775</w:t>
            </w:r>
          </w:p>
        </w:tc>
        <w:tc>
          <w:tcPr>
            <w:tcW w:w="1415" w:type="dxa"/>
            <w:tcBorders>
              <w:top w:val="single" w:sz="4" w:space="0" w:color="000000"/>
              <w:left w:val="single" w:sz="4" w:space="0" w:color="000000"/>
              <w:bottom w:val="single" w:sz="4" w:space="0" w:color="000000"/>
              <w:right w:val="single" w:sz="4" w:space="0" w:color="000000"/>
            </w:tcBorders>
            <w:shd w:color="auto" w:fill="D9F2D0" w:themeFill="accent6" w:themeFillTint="33" w:val="clea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color w:val="000000"/>
                <w:kern w:val="0"/>
                <w:sz w:val="22"/>
                <w:szCs w:val="22"/>
                <w:lang w:val="it-IT" w:eastAsia="it-IT" w:bidi="ar-SA"/>
              </w:rPr>
              <w:t>10584</w:t>
            </w:r>
          </w:p>
        </w:tc>
        <w:tc>
          <w:tcPr>
            <w:tcW w:w="1562" w:type="dxa"/>
            <w:tcBorders>
              <w:top w:val="single" w:sz="4" w:space="0" w:color="000000"/>
              <w:left w:val="single" w:sz="4" w:space="0" w:color="000000"/>
              <w:bottom w:val="single" w:sz="4" w:space="0" w:color="000000"/>
              <w:right w:val="single" w:sz="4" w:space="0" w:color="000000"/>
            </w:tcBorders>
            <w:shd w:color="auto" w:fill="D9F2D0" w:themeFill="accent6" w:themeFillTint="33" w:val="clear"/>
          </w:tcPr>
          <w:p>
            <w:pPr>
              <w:pStyle w:val="Normal"/>
              <w:widowControl/>
              <w:suppressAutoHyphens w:val="false"/>
              <w:spacing w:before="0" w:after="0"/>
              <w:jc w:val="center"/>
              <w:textAlignment w:val="auto"/>
              <w:cnfStyle w:val="000000000000" w:firstRow="0" w:lastRow="0" w:firstColumn="0" w:lastColumn="0" w:oddVBand="0" w:evenVBand="0" w:oddHBand="0"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color w:val="000000"/>
                <w:kern w:val="0"/>
                <w:sz w:val="22"/>
                <w:szCs w:val="22"/>
                <w:lang w:val="it-IT" w:eastAsia="it-IT" w:bidi="ar-SA"/>
              </w:rPr>
              <w:t>7881</w:t>
            </w:r>
          </w:p>
        </w:tc>
      </w:tr>
      <w:tr>
        <w:trPr>
          <w:trHeight w:val="300" w:hRule="atLeast"/>
          <w:cnfStyle w:val="000000100000" w:firstRow="0" w:lastRow="0" w:firstColumn="0" w:lastColumn="0" w:oddVBand="0" w:evenVBand="0" w:oddHBand="1" w:evenHBand="0" w:firstRowFirstColumn="0" w:firstRowLastColumn="0" w:lastRowFirstColumn="0" w:lastRowLastColumn="0"/>
        </w:trPr>
        <w:tc>
          <w:tcPr>
            <w:tcW w:w="2700" w:type="dxa"/>
            <w:cnfStyle w:val="001000000000" w:firstRow="0" w:lastRow="0" w:firstColumn="1" w:lastColumn="0" w:oddVBand="0" w:evenVBand="0" w:oddHBand="0" w:evenHBand="0" w:firstRowFirstColumn="0" w:firstRowLastColumn="0" w:lastRowFirstColumn="0" w:lastRowLastColumn="0"/>
            <w:tcBorders>
              <w:right w:val="nil"/>
            </w:tcBorders>
            <w:shd w:color="auto" w:fill="4EA72E" w:themeFill="accent6" w:val="clear"/>
          </w:tcPr>
          <w:p>
            <w:pPr>
              <w:pStyle w:val="Normal"/>
              <w:widowControl/>
              <w:suppressAutoHyphens w:val="false"/>
              <w:spacing w:before="0" w:after="0"/>
              <w:jc w:val="center"/>
              <w:textAlignment w:val="auto"/>
              <w:rPr>
                <w:rFonts w:ascii="Calibri" w:hAnsi="Calibri" w:eastAsia="Times New Roman" w:cs="Calibri"/>
                <w:color w:val="000000"/>
                <w:kern w:val="0"/>
                <w:sz w:val="22"/>
                <w:szCs w:val="22"/>
                <w:lang w:eastAsia="it-IT" w:bidi="ar-SA"/>
              </w:rPr>
            </w:pPr>
            <w:r>
              <w:rPr>
                <w:rFonts w:eastAsia="Times New Roman" w:cs="Calibri" w:ascii="Calibri" w:hAnsi="Calibri"/>
                <w:b/>
                <w:bCs/>
                <w:color w:val="000000"/>
                <w:kern w:val="0"/>
                <w:sz w:val="22"/>
                <w:szCs w:val="22"/>
                <w:lang w:val="it-IT" w:eastAsia="it-IT" w:bidi="ar-SA"/>
              </w:rPr>
              <w:t>TOTALE</w:t>
            </w:r>
          </w:p>
        </w:tc>
        <w:tc>
          <w:tcPr>
            <w:tcW w:w="1829" w:type="dxa"/>
            <w:tcBorders>
              <w:top w:val="single" w:sz="4" w:space="0" w:color="000000"/>
              <w:left w:val="single" w:sz="4" w:space="0" w:color="000000"/>
              <w:bottom w:val="single" w:sz="4" w:space="0" w:color="000000"/>
              <w:right w:val="single" w:sz="4" w:space="0" w:color="000000"/>
            </w:tcBorders>
            <w:shd w:color="auto" w:fill="B3E5A1" w:themeFill="accent6" w:themeFillTint="66" w:val="clea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color w:val="000000"/>
                <w:kern w:val="0"/>
                <w:sz w:val="22"/>
                <w:szCs w:val="22"/>
                <w:lang w:val="it-IT" w:eastAsia="it-IT" w:bidi="ar-SA"/>
              </w:rPr>
              <w:t>21453</w:t>
            </w:r>
          </w:p>
        </w:tc>
        <w:tc>
          <w:tcPr>
            <w:tcW w:w="1420" w:type="dxa"/>
            <w:tcBorders>
              <w:top w:val="single" w:sz="4" w:space="0" w:color="000000"/>
              <w:left w:val="single" w:sz="4" w:space="0" w:color="000000"/>
              <w:bottom w:val="single" w:sz="4" w:space="0" w:color="000000"/>
              <w:right w:val="single" w:sz="4" w:space="0" w:color="000000"/>
            </w:tcBorders>
            <w:shd w:color="auto" w:fill="B3E5A1" w:themeFill="accent6" w:themeFillTint="66" w:val="clea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color w:val="000000"/>
                <w:kern w:val="0"/>
                <w:sz w:val="22"/>
                <w:szCs w:val="22"/>
                <w:lang w:val="it-IT" w:eastAsia="it-IT" w:bidi="ar-SA"/>
              </w:rPr>
              <w:t>2811</w:t>
            </w:r>
          </w:p>
        </w:tc>
        <w:tc>
          <w:tcPr>
            <w:tcW w:w="1415" w:type="dxa"/>
            <w:tcBorders>
              <w:top w:val="single" w:sz="4" w:space="0" w:color="000000"/>
              <w:left w:val="single" w:sz="4" w:space="0" w:color="000000"/>
              <w:bottom w:val="single" w:sz="4" w:space="0" w:color="000000"/>
              <w:right w:val="single" w:sz="4" w:space="0" w:color="000000"/>
            </w:tcBorders>
            <w:shd w:color="auto" w:fill="B3E5A1" w:themeFill="accent6" w:themeFillTint="66" w:val="clea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color w:val="000000"/>
                <w:kern w:val="0"/>
                <w:sz w:val="22"/>
                <w:szCs w:val="22"/>
                <w:lang w:val="it-IT" w:eastAsia="it-IT" w:bidi="ar-SA"/>
              </w:rPr>
              <w:t>20772</w:t>
            </w:r>
          </w:p>
        </w:tc>
        <w:tc>
          <w:tcPr>
            <w:tcW w:w="1562" w:type="dxa"/>
            <w:tcBorders>
              <w:top w:val="single" w:sz="4" w:space="0" w:color="000000"/>
              <w:left w:val="single" w:sz="4" w:space="0" w:color="000000"/>
              <w:bottom w:val="single" w:sz="4" w:space="0" w:color="000000"/>
              <w:right w:val="single" w:sz="4" w:space="0" w:color="000000"/>
            </w:tcBorders>
            <w:shd w:color="auto" w:fill="B3E5A1" w:themeFill="accent6" w:themeFillTint="66" w:val="clear"/>
          </w:tcPr>
          <w:p>
            <w:pPr>
              <w:pStyle w:val="Normal"/>
              <w:widowControl/>
              <w:suppressAutoHyphens w:val="false"/>
              <w:spacing w:before="0" w:after="0"/>
              <w:jc w:val="center"/>
              <w:textAlignment w:val="auto"/>
              <w:cnfStyle w:val="000000100000" w:firstRow="0" w:lastRow="0" w:firstColumn="0" w:lastColumn="0" w:oddVBand="0" w:evenVBand="0" w:oddHBand="1" w:evenHBand="0" w:firstRowFirstColumn="0" w:firstRowLastColumn="0" w:lastRowFirstColumn="0" w:lastRowLastColumn="0"/>
              <w:rPr>
                <w:rFonts w:ascii="Calibri" w:hAnsi="Calibri" w:eastAsia="Times New Roman" w:cs="Calibri"/>
                <w:color w:val="000000"/>
                <w:kern w:val="0"/>
                <w:sz w:val="22"/>
                <w:szCs w:val="22"/>
                <w:lang w:eastAsia="it-IT" w:bidi="ar-SA"/>
              </w:rPr>
            </w:pPr>
            <w:r>
              <w:rPr>
                <w:rFonts w:eastAsia="Times New Roman" w:cs="Calibri" w:ascii="Calibri" w:hAnsi="Calibri"/>
                <w:color w:val="000000"/>
                <w:kern w:val="0"/>
                <w:sz w:val="22"/>
                <w:szCs w:val="22"/>
                <w:lang w:val="it-IT" w:eastAsia="it-IT" w:bidi="ar-SA"/>
              </w:rPr>
              <w:t>17474</w:t>
            </w:r>
          </w:p>
        </w:tc>
      </w:tr>
    </w:tbl>
    <w:p>
      <w:pPr>
        <w:pStyle w:val="Standard"/>
        <w:rPr>
          <w:rFonts w:ascii="Arial" w:hAnsi="Arial" w:cs="Arial"/>
          <w:sz w:val="20"/>
          <w:szCs w:val="20"/>
        </w:rPr>
      </w:pPr>
      <w:r>
        <w:rPr>
          <w:rFonts w:cs="Arial" w:ascii="Arial" w:hAnsi="Arial"/>
          <w:sz w:val="20"/>
          <w:szCs w:val="20"/>
        </w:rPr>
      </w:r>
    </w:p>
    <w:p>
      <w:pPr>
        <w:pStyle w:val="Standard"/>
        <w:rPr>
          <w:rFonts w:ascii="Arial" w:hAnsi="Arial" w:cs="Arial"/>
          <w:sz w:val="20"/>
          <w:szCs w:val="20"/>
        </w:rPr>
      </w:pPr>
      <w:r>
        <w:rPr>
          <w:rFonts w:cs="Arial" w:ascii="Arial" w:hAnsi="Arial"/>
          <w:sz w:val="20"/>
          <w:szCs w:val="20"/>
        </w:rPr>
        <w:t>Si stima pertanto una riduzione della popolazione esposta pari a 87% (LDEN) e 17% (LNIGHT)</w:t>
      </w:r>
    </w:p>
    <w:p>
      <w:pPr>
        <w:pStyle w:val="Normal"/>
        <w:rPr>
          <w:b/>
          <w:sz w:val="16"/>
          <w:szCs w:val="18"/>
        </w:rPr>
      </w:pPr>
      <w:r>
        <w:rPr>
          <w:b/>
          <w:sz w:val="16"/>
          <w:szCs w:val="18"/>
        </w:rPr>
      </w:r>
    </w:p>
    <w:p>
      <w:pPr>
        <w:pStyle w:val="Heading1"/>
        <w:numPr>
          <w:ilvl w:val="0"/>
          <w:numId w:val="1"/>
        </w:numPr>
        <w:rPr>
          <w:rFonts w:ascii="Arial" w:hAnsi="Arial" w:cs="Arial"/>
          <w:sz w:val="20"/>
          <w:szCs w:val="22"/>
        </w:rPr>
      </w:pPr>
      <w:bookmarkStart w:id="20" w:name="__RefHeading__18014_1831176500"/>
      <w:bookmarkStart w:id="21" w:name="_Toc172196611"/>
      <w:bookmarkEnd w:id="20"/>
      <w:r>
        <w:rPr>
          <w:rFonts w:cs="Arial" w:ascii="Arial" w:hAnsi="Arial"/>
          <w:sz w:val="20"/>
          <w:szCs w:val="22"/>
        </w:rPr>
        <w:t>RESOCONTO DELLE CONSULTAZIONI PUBBLICHE ORGANIZZATE AI SENSI DELL’ARTICOLO 8 DEL D.LGS. 194/2005 - Requisito di cui all. 5 D.Lgs. 194/2005 lett.g)</w:t>
      </w:r>
      <w:bookmarkEnd w:id="21"/>
    </w:p>
    <w:p>
      <w:pPr>
        <w:pStyle w:val="Standard"/>
        <w:jc w:val="both"/>
        <w:rPr>
          <w:rFonts w:ascii="Arial" w:hAnsi="Arial"/>
          <w:sz w:val="18"/>
          <w:szCs w:val="20"/>
        </w:rPr>
      </w:pPr>
      <w:r>
        <w:rPr>
          <w:rFonts w:ascii="Arial" w:hAnsi="Arial"/>
          <w:sz w:val="18"/>
          <w:szCs w:val="20"/>
        </w:rPr>
      </w:r>
    </w:p>
    <w:p>
      <w:pPr>
        <w:pStyle w:val="NormaleCorpo"/>
        <w:spacing w:lineRule="auto" w:line="360" w:before="280" w:after="120"/>
        <w:rPr/>
      </w:pPr>
      <w:r>
        <w:rPr>
          <w:rFonts w:cs="Arial" w:ascii="Arial" w:hAnsi="Arial"/>
          <w:sz w:val="20"/>
          <w:szCs w:val="22"/>
        </w:rPr>
        <w:t>I documenti relativi alla mappatura acustica realizzata secondo le disposizioni del D.Lgs. 194/2005  sono stati approvati con decreto del Sindaco Metropolitano e successivamente è stata avviata la consultazione pubblica, del Piano d’Azione articolata con i seguenti passaggi:</w:t>
      </w:r>
    </w:p>
    <w:p>
      <w:pPr>
        <w:pStyle w:val="NormaleCorpo"/>
        <w:numPr>
          <w:ilvl w:val="0"/>
          <w:numId w:val="10"/>
        </w:numPr>
        <w:spacing w:lineRule="auto" w:line="360" w:before="280" w:after="120"/>
        <w:rPr>
          <w:rFonts w:ascii="Arial" w:hAnsi="Arial"/>
        </w:rPr>
      </w:pPr>
      <w:r>
        <w:rPr>
          <w:rFonts w:cs="Arial" w:ascii="Arial" w:hAnsi="Arial"/>
          <w:sz w:val="20"/>
          <w:szCs w:val="20"/>
        </w:rPr>
        <w:t xml:space="preserve">Pubblicazione, con avviso pubblico </w:t>
      </w:r>
      <w:r>
        <w:rPr>
          <w:rFonts w:cs="Arial" w:ascii="Arial" w:hAnsi="Arial"/>
          <w:b/>
          <w:bCs/>
          <w:sz w:val="20"/>
          <w:szCs w:val="20"/>
        </w:rPr>
        <w:t xml:space="preserve">in data 23/10/2024, </w:t>
      </w:r>
      <w:r>
        <w:rPr>
          <w:rFonts w:cs="Arial" w:ascii="Arial" w:hAnsi="Arial"/>
          <w:sz w:val="20"/>
          <w:szCs w:val="20"/>
        </w:rPr>
        <w:t xml:space="preserve">del Piano d’azione (Decreto del Sindaco Metropolitano n°175 del 22/10/2024) </w:t>
      </w:r>
      <w:r>
        <w:rPr>
          <w:rFonts w:cs="Arial" w:ascii="Arial" w:hAnsi="Arial"/>
          <w:color w:val="000000"/>
          <w:sz w:val="20"/>
          <w:szCs w:val="20"/>
        </w:rPr>
        <w:t xml:space="preserve">nel sito istituzionale della Città metropolitana di Cagliari e nella sezione Amministrazione Trasparente “informazioni ambientali”, ai sensi del Dlgs 195/2005, sull'accesso pubblico alle informazioni ambientali </w:t>
      </w:r>
      <w:r>
        <w:rPr>
          <w:rFonts w:cs="Calibri" w:ascii="Arial" w:hAnsi="Arial"/>
          <w:color w:val="000000"/>
          <w:sz w:val="20"/>
          <w:szCs w:val="20"/>
        </w:rPr>
        <w:t xml:space="preserve">al fine di ottemperare a quanto disposto  </w:t>
      </w:r>
      <w:r>
        <w:rPr>
          <w:rFonts w:eastAsia="Times New Roman" w:cs="Arial" w:ascii="Arial" w:hAnsi="Arial"/>
          <w:color w:val="000000"/>
          <w:spacing w:val="-2"/>
          <w:sz w:val="20"/>
          <w:szCs w:val="20"/>
          <w:lang w:bidi="ar-SA"/>
        </w:rPr>
        <w:t>dall’articolo 8, comma 2, del D.Lgs. 19 agosto 2005, n° 194</w:t>
      </w:r>
    </w:p>
    <w:p>
      <w:pPr>
        <w:pStyle w:val="NormaleCorpo"/>
        <w:numPr>
          <w:ilvl w:val="0"/>
          <w:numId w:val="10"/>
        </w:numPr>
        <w:spacing w:lineRule="auto" w:line="360" w:before="0" w:after="120"/>
        <w:rPr>
          <w:rFonts w:ascii="Arial" w:hAnsi="Arial"/>
        </w:rPr>
      </w:pPr>
      <w:r>
        <w:rPr>
          <w:rFonts w:eastAsia="Times New Roman" w:cs="Arial" w:ascii="Arial" w:hAnsi="Arial"/>
          <w:color w:val="000000"/>
          <w:spacing w:val="-2"/>
          <w:sz w:val="20"/>
          <w:szCs w:val="20"/>
          <w:lang w:bidi="ar-SA"/>
        </w:rPr>
        <w:t>Convocazione di una riunione da tenersi in data 6/11/2024, con nota Prot.  36401 del 23/10/2024, dei soggetti interessati (Comuni facenti parti dell’agglomerato urbano di Cagliari, aziende di trasporto, società di gestione strade, Aeroporto, Ferrovie ed Autorità Portuale) per la presentazione del Piano d’Azione.</w:t>
      </w:r>
      <w:r>
        <w:rPr>
          <w:rFonts w:cs="Arial" w:ascii="Arial" w:hAnsi="Arial"/>
          <w:sz w:val="20"/>
          <w:szCs w:val="22"/>
        </w:rPr>
        <w:t>con la stessa nota è stato richiesto a tutti i Comuni di pubblicare, a</w:t>
      </w:r>
      <w:r>
        <w:rPr>
          <w:rFonts w:eastAsia="Times New Roman" w:cs="Arial" w:ascii="Arial" w:hAnsi="Arial"/>
          <w:spacing w:val="-2"/>
          <w:sz w:val="20"/>
          <w:szCs w:val="20"/>
          <w:lang w:bidi="ar-SA"/>
        </w:rPr>
        <w:t xml:space="preserve">l fine di garantire la massima pubblicità, la notizia sulla </w:t>
      </w:r>
      <w:r>
        <w:rPr>
          <w:rFonts w:eastAsia="Times New Roman" w:cs="Arial" w:ascii="Arial" w:hAnsi="Arial"/>
          <w:i/>
          <w:iCs/>
          <w:spacing w:val="-2"/>
          <w:sz w:val="20"/>
          <w:szCs w:val="20"/>
          <w:lang w:bidi="ar-SA"/>
        </w:rPr>
        <w:t xml:space="preserve">home page </w:t>
      </w:r>
      <w:r>
        <w:rPr>
          <w:rFonts w:eastAsia="Times New Roman" w:cs="Arial" w:ascii="Arial" w:hAnsi="Arial"/>
          <w:spacing w:val="-2"/>
          <w:sz w:val="20"/>
          <w:szCs w:val="20"/>
          <w:lang w:bidi="ar-SA"/>
        </w:rPr>
        <w:t>del proprio sito web e all’albo pretorio indicando che (così come riportato nell’avviso pubblicato sul sito istituzionale della Città Metropolitana di Cagliari): e</w:t>
      </w:r>
      <w:r>
        <w:rPr>
          <w:rFonts w:eastAsia="Times New Roman" w:cs="Calibri" w:ascii="Arial" w:hAnsi="Arial"/>
          <w:color w:val="000000"/>
          <w:spacing w:val="-2"/>
          <w:sz w:val="20"/>
          <w:szCs w:val="20"/>
          <w:lang w:bidi="ar-SA"/>
        </w:rPr>
        <w:t>ventuali osservazioni, aventi come oggetto “Osservazioni al Piano d’azione”  potranno essere inviate entro 45 giorni dalla pubblicazione dell’avviso sul sito istituzionale della Città Metropolitana</w:t>
      </w:r>
    </w:p>
    <w:p>
      <w:pPr>
        <w:pStyle w:val="NormaleCorpo"/>
        <w:numPr>
          <w:ilvl w:val="0"/>
          <w:numId w:val="10"/>
        </w:numPr>
        <w:spacing w:lineRule="auto" w:line="360" w:before="0" w:after="120"/>
        <w:rPr>
          <w:rFonts w:ascii="Arial" w:hAnsi="Arial"/>
        </w:rPr>
      </w:pPr>
      <w:r>
        <w:rPr>
          <w:rFonts w:cs="Arial" w:ascii="Arial" w:hAnsi="Arial"/>
          <w:sz w:val="20"/>
          <w:szCs w:val="22"/>
        </w:rPr>
        <w:t>con successiva nota Prot. 38183 dell’8/11/2024 è stato chiesto ai comuni interessati di presentare eventuali proposte di intervento sia già programmate sia di nuova realizzazione ricomprese nelle aree critiche o interessanti edifici sensibili così come individuati nella Mappatura/Piano d’Azione. Tale richiesta era finalizzata a valutare la possibilità di poter finanziare interventi ritenuti adeguati</w:t>
      </w:r>
      <w:r>
        <w:rPr>
          <w:rFonts w:cs="Arial" w:ascii="Arial" w:hAnsi="Arial"/>
          <w:sz w:val="20"/>
          <w:szCs w:val="20"/>
        </w:rPr>
        <w:t xml:space="preserve"> grazie ad  un contributo di 1.500.00,00 euro concesso alla Città Metropolitana di Cagliari dalla Regione Autonoma della Sardegna ( Deliberazione della Giunta Regionale  46/12 del 22/12/2023) ai fini dell'attuazione dei piani d'azioni per il contrasto al rumore ambientale  in relazione alle criticità evidenziate.</w:t>
      </w:r>
    </w:p>
    <w:p>
      <w:pPr>
        <w:pStyle w:val="NormaleCorpo"/>
        <w:numPr>
          <w:ilvl w:val="0"/>
          <w:numId w:val="10"/>
        </w:numPr>
        <w:spacing w:lineRule="auto" w:line="360" w:before="0" w:after="120"/>
        <w:rPr>
          <w:rFonts w:ascii="Arial" w:hAnsi="Arial"/>
        </w:rPr>
      </w:pPr>
      <w:r>
        <w:rPr>
          <w:rFonts w:cs="Arial" w:ascii="Arial" w:hAnsi="Arial"/>
          <w:sz w:val="20"/>
          <w:szCs w:val="22"/>
        </w:rPr>
        <w:t>È stato inoltre richiesto sia ai comuni che agli altri soggetti interessati e precedentemente convocati di fornire ogni eventuale dato e/o informazione in loro possesso inerente la tematica trattata.</w:t>
      </w:r>
      <w:r>
        <w:rPr>
          <w:rFonts w:cs="Arial" w:ascii="Arial" w:hAnsi="Arial"/>
          <w:sz w:val="20"/>
          <w:szCs w:val="20"/>
        </w:rPr>
        <w:t>Sono quindi pervenute le seguenti osservazioni/richieste:</w:t>
      </w:r>
    </w:p>
    <w:p>
      <w:pPr>
        <w:pStyle w:val="Oggetto"/>
        <w:suppressAutoHyphens w:val="false"/>
        <w:ind w:firstLine="567" w:left="0"/>
        <w:jc w:val="both"/>
        <w:rPr>
          <w:rFonts w:ascii="Arial" w:hAnsi="Arial" w:cs="Arial"/>
          <w:b w:val="false"/>
          <w:sz w:val="20"/>
          <w:szCs w:val="20"/>
        </w:rPr>
      </w:pPr>
      <w:r>
        <w:rPr>
          <w:rFonts w:cs="Arial" w:ascii="Arial" w:hAnsi="Arial"/>
          <w:b w:val="false"/>
          <w:sz w:val="20"/>
          <w:szCs w:val="20"/>
        </w:rPr>
        <w:t>con nota Prot. 38765 del 13/11/2024 di cui al Prot. 40181 del 21/11/2024  il comune di Assemini ha presentato una proposta di intervento nelle aree individuate come critiche per un importo di 450.000,00 euro</w:t>
      </w:r>
    </w:p>
    <w:p>
      <w:pPr>
        <w:pStyle w:val="Oggetto"/>
        <w:suppressAutoHyphens w:val="false"/>
        <w:ind w:firstLine="567" w:left="0"/>
        <w:jc w:val="both"/>
        <w:rPr>
          <w:rFonts w:ascii="Arial" w:hAnsi="Arial" w:eastAsia="Times New Roman" w:cs="Arial"/>
          <w:b w:val="false"/>
          <w:color w:val="000000"/>
          <w:spacing w:val="-2"/>
          <w:sz w:val="20"/>
          <w:szCs w:val="20"/>
          <w:lang w:bidi="ar-SA"/>
        </w:rPr>
      </w:pPr>
      <w:r>
        <w:rPr>
          <w:rFonts w:eastAsia="Times New Roman" w:cs="Arial" w:ascii="Arial" w:hAnsi="Arial"/>
          <w:b w:val="false"/>
          <w:color w:val="000000"/>
          <w:spacing w:val="-2"/>
          <w:sz w:val="20"/>
          <w:szCs w:val="20"/>
          <w:lang w:bidi="ar-SA"/>
        </w:rPr>
        <w:t>con nota CTM Prot. 27843 del 20/11/2024 di cui al Prot. 39839 di pari data  sono state inviate informazioni aggiornate alla tipologia del parco mezzi e agli interventi di prossima realizzazione previsti.</w:t>
      </w:r>
    </w:p>
    <w:p>
      <w:pPr>
        <w:pStyle w:val="Oggetto"/>
        <w:suppressAutoHyphens w:val="false"/>
        <w:ind w:firstLine="567" w:left="0"/>
        <w:jc w:val="both"/>
        <w:rPr>
          <w:rFonts w:ascii="Arial" w:hAnsi="Arial"/>
          <w:b w:val="false"/>
          <w:sz w:val="20"/>
          <w:szCs w:val="20"/>
        </w:rPr>
      </w:pPr>
      <w:r>
        <w:rPr>
          <w:rFonts w:cs="Arial" w:ascii="Arial" w:hAnsi="Arial"/>
          <w:b w:val="false"/>
          <w:sz w:val="20"/>
          <w:szCs w:val="20"/>
        </w:rPr>
        <w:t>con nota ARST Prot. 28309 del 21/11/2024 di cui al Prot. 40163 di pari data è stata inviata documentazione inerente l</w:t>
      </w:r>
      <w:r>
        <w:rPr>
          <w:rFonts w:cs="Arial" w:ascii="Arial" w:hAnsi="Arial"/>
          <w:b w:val="false"/>
          <w:sz w:val="20"/>
          <w:szCs w:val="20"/>
          <w:lang w:eastAsia="hi-IN"/>
        </w:rPr>
        <w:t>’impatto acustico degli i</w:t>
      </w:r>
      <w:r>
        <w:rPr>
          <w:rFonts w:cs="Arial" w:ascii="Arial" w:hAnsi="Arial"/>
          <w:b w:val="false"/>
          <w:sz w:val="20"/>
          <w:szCs w:val="20"/>
        </w:rPr>
        <w:t>nterventi programmati riguardante la metropolitana leggera</w:t>
      </w:r>
    </w:p>
    <w:p>
      <w:pPr>
        <w:pStyle w:val="Oggetto"/>
        <w:suppressAutoHyphens w:val="false"/>
        <w:ind w:firstLine="567" w:left="0"/>
        <w:jc w:val="both"/>
        <w:rPr>
          <w:rFonts w:ascii="Arial" w:hAnsi="Arial"/>
          <w:b w:val="false"/>
          <w:sz w:val="20"/>
          <w:szCs w:val="20"/>
        </w:rPr>
      </w:pPr>
      <w:r>
        <w:rPr>
          <w:rFonts w:ascii="Arial" w:hAnsi="Arial"/>
          <w:b w:val="false"/>
          <w:sz w:val="20"/>
          <w:szCs w:val="20"/>
        </w:rPr>
        <w:t xml:space="preserve">con nota di cui al Prot. 53891 del 4/12/2024 di cui al Prot. 42018 del 4/12/2024 il comune di </w:t>
      </w:r>
      <w:r>
        <w:rPr>
          <w:rFonts w:ascii="Arial" w:hAnsi="Arial"/>
          <w:b w:val="false"/>
          <w:sz w:val="20"/>
          <w:szCs w:val="20"/>
          <w:lang w:eastAsia="hi-IN"/>
        </w:rPr>
        <w:t>Selargius</w:t>
      </w:r>
      <w:r>
        <w:rPr>
          <w:rFonts w:ascii="Arial" w:hAnsi="Arial"/>
          <w:b w:val="false"/>
          <w:sz w:val="20"/>
          <w:szCs w:val="20"/>
        </w:rPr>
        <w:t xml:space="preserve"> ha presentato osservazioni relativamente ai recettori sensibili</w:t>
      </w:r>
    </w:p>
    <w:p>
      <w:pPr>
        <w:pStyle w:val="Oggetto"/>
        <w:suppressAutoHyphens w:val="false"/>
        <w:ind w:firstLine="567" w:left="0"/>
        <w:jc w:val="both"/>
        <w:rPr>
          <w:rFonts w:ascii="Arial" w:hAnsi="Arial"/>
          <w:b w:val="false"/>
          <w:sz w:val="20"/>
          <w:szCs w:val="20"/>
        </w:rPr>
      </w:pPr>
      <w:r>
        <w:rPr>
          <w:rFonts w:cs="Arial" w:ascii="Arial" w:hAnsi="Arial"/>
          <w:b w:val="false"/>
          <w:sz w:val="20"/>
          <w:szCs w:val="20"/>
        </w:rPr>
        <w:t xml:space="preserve">con nota di cui al Prot. 42597 </w:t>
      </w:r>
      <w:r>
        <w:rPr>
          <w:rFonts w:cs="Arial" w:ascii="Arial" w:hAnsi="Arial"/>
          <w:b w:val="false"/>
          <w:sz w:val="20"/>
          <w:szCs w:val="20"/>
          <w:lang w:eastAsia="hi-IN"/>
        </w:rPr>
        <w:t>del 9/12/2024</w:t>
      </w:r>
      <w:r>
        <w:rPr>
          <w:rFonts w:cs="Arial" w:ascii="Arial" w:hAnsi="Arial"/>
          <w:b w:val="false"/>
          <w:sz w:val="20"/>
          <w:szCs w:val="20"/>
        </w:rPr>
        <w:t xml:space="preserve">  il comune di Quartu Sant</w:t>
      </w:r>
      <w:r>
        <w:rPr>
          <w:rFonts w:cs="Arial" w:ascii="Arial" w:hAnsi="Arial"/>
          <w:b w:val="false"/>
          <w:sz w:val="20"/>
          <w:szCs w:val="20"/>
          <w:lang w:eastAsia="hi-IN"/>
        </w:rPr>
        <w:t xml:space="preserve">’Elena </w:t>
      </w:r>
      <w:r>
        <w:rPr>
          <w:rFonts w:cs="Arial" w:ascii="Arial" w:hAnsi="Arial"/>
          <w:b w:val="false"/>
          <w:sz w:val="20"/>
          <w:szCs w:val="20"/>
        </w:rPr>
        <w:t xml:space="preserve"> ha presentato una proposta di intervento nelle aree individuate come critiche per un importo di € 188.000</w:t>
      </w:r>
    </w:p>
    <w:p>
      <w:pPr>
        <w:pStyle w:val="Oggetto"/>
        <w:widowControl w:val="false"/>
        <w:numPr>
          <w:ilvl w:val="0"/>
          <w:numId w:val="11"/>
        </w:numPr>
        <w:suppressAutoHyphens w:val="false"/>
        <w:bidi w:val="0"/>
        <w:spacing w:lineRule="auto" w:line="276" w:before="120" w:after="0"/>
        <w:ind w:firstLine="567" w:left="0" w:right="0"/>
        <w:jc w:val="both"/>
        <w:rPr>
          <w:rFonts w:ascii="Calibri" w:hAnsi="Calibri"/>
          <w:b w:val="false"/>
          <w:bCs w:val="false"/>
          <w:sz w:val="20"/>
          <w:szCs w:val="20"/>
          <w:shd w:fill="auto" w:val="clear"/>
        </w:rPr>
      </w:pPr>
      <w:r>
        <w:rPr>
          <w:rFonts w:eastAsia="Times New Roman" w:cs="Arial" w:ascii="Arial" w:hAnsi="Arial"/>
          <w:b w:val="false"/>
          <w:bCs w:val="false"/>
          <w:i w:val="false"/>
          <w:iCs w:val="false"/>
          <w:color w:val="000000"/>
          <w:spacing w:val="-2"/>
          <w:sz w:val="20"/>
          <w:szCs w:val="20"/>
          <w:u w:val="none"/>
          <w:shd w:fill="auto" w:val="clear"/>
          <w:lang w:val="it-IT" w:eastAsia="zxx" w:bidi="ar-SA"/>
        </w:rPr>
        <w:t xml:space="preserve">con nota Prot. </w:t>
      </w:r>
      <w:r>
        <w:rPr>
          <w:rFonts w:eastAsia="Times New Roman" w:cs="Arial" w:ascii="Arial" w:hAnsi="Arial"/>
          <w:b w:val="false"/>
          <w:bCs w:val="false"/>
          <w:i w:val="false"/>
          <w:iCs w:val="false"/>
          <w:color w:val="000000"/>
          <w:spacing w:val="-2"/>
          <w:sz w:val="20"/>
          <w:szCs w:val="20"/>
          <w:u w:val="none"/>
          <w:shd w:fill="auto" w:val="clear"/>
          <w:lang w:val="it-IT" w:eastAsia="zxx" w:bidi="ar-SA"/>
        </w:rPr>
        <w:t xml:space="preserve">43455 </w:t>
      </w:r>
      <w:r>
        <w:rPr>
          <w:rFonts w:eastAsia="Times New Roman" w:cs="Arial" w:ascii="Arial" w:hAnsi="Arial"/>
          <w:b w:val="false"/>
          <w:bCs w:val="false"/>
          <w:i w:val="false"/>
          <w:iCs w:val="false"/>
          <w:color w:val="000000"/>
          <w:spacing w:val="-2"/>
          <w:sz w:val="20"/>
          <w:szCs w:val="20"/>
          <w:u w:val="none"/>
          <w:shd w:fill="auto" w:val="clear"/>
          <w:lang w:val="it-IT" w:eastAsia="zxx" w:bidi="ar-SA"/>
        </w:rPr>
        <w:t xml:space="preserve"> del </w:t>
      </w:r>
      <w:r>
        <w:rPr>
          <w:rFonts w:eastAsia="Times New Roman" w:cs="Arial" w:ascii="Arial" w:hAnsi="Arial"/>
          <w:b w:val="false"/>
          <w:bCs w:val="false"/>
          <w:i w:val="false"/>
          <w:iCs w:val="false"/>
          <w:color w:val="000000"/>
          <w:spacing w:val="-2"/>
          <w:sz w:val="20"/>
          <w:szCs w:val="20"/>
          <w:u w:val="none"/>
          <w:shd w:fill="auto" w:val="clear"/>
          <w:lang w:val="it-IT" w:eastAsia="zxx" w:bidi="ar-SA"/>
        </w:rPr>
        <w:t>13/12/2024</w:t>
      </w:r>
      <w:r>
        <w:rPr>
          <w:rFonts w:eastAsia="Times New Roman" w:cs="Arial" w:ascii="Arial" w:hAnsi="Arial"/>
          <w:b w:val="false"/>
          <w:bCs w:val="false"/>
          <w:i w:val="false"/>
          <w:iCs w:val="false"/>
          <w:color w:val="000000"/>
          <w:spacing w:val="-2"/>
          <w:sz w:val="20"/>
          <w:szCs w:val="20"/>
          <w:u w:val="none"/>
          <w:shd w:fill="auto" w:val="clear"/>
          <w:lang w:val="it-IT" w:eastAsia="zxx" w:bidi="ar-SA"/>
        </w:rPr>
        <w:t xml:space="preserve"> </w:t>
      </w:r>
      <w:r>
        <w:rPr>
          <w:rFonts w:eastAsia="Times New Roman" w:cs="Arial" w:ascii="Arial" w:hAnsi="Arial"/>
          <w:b w:val="false"/>
          <w:bCs w:val="false"/>
          <w:i w:val="false"/>
          <w:iCs w:val="false"/>
          <w:color w:val="000000"/>
          <w:spacing w:val="-2"/>
          <w:sz w:val="20"/>
          <w:szCs w:val="20"/>
          <w:u w:val="none"/>
          <w:shd w:fill="auto" w:val="clear"/>
          <w:lang w:val="it-IT" w:eastAsia="zxx" w:bidi="ar-SA"/>
        </w:rPr>
        <w:t xml:space="preserve">il Comune di Cagliari </w:t>
      </w:r>
      <w:r>
        <w:rPr>
          <w:rFonts w:eastAsia="Times New Roman" w:cs="Arial" w:ascii="Arial" w:hAnsi="Arial"/>
          <w:b w:val="false"/>
          <w:bCs w:val="false"/>
          <w:i w:val="false"/>
          <w:iCs w:val="false"/>
          <w:color w:val="000000"/>
          <w:spacing w:val="-2"/>
          <w:sz w:val="20"/>
          <w:szCs w:val="20"/>
          <w:u w:val="none"/>
          <w:shd w:fill="auto" w:val="clear"/>
          <w:lang w:val="it-IT" w:eastAsia="zxx" w:bidi="ar-SA"/>
        </w:rPr>
        <w:t xml:space="preserve">  ha presentato una proposta di intervento nelle aree indivuiduate come critiche per un importo di </w:t>
      </w:r>
      <w:r>
        <w:rPr>
          <w:rFonts w:eastAsia="Times New Roman" w:cs="Arial" w:ascii="Arial" w:hAnsi="Arial"/>
          <w:b w:val="false"/>
          <w:bCs w:val="false"/>
          <w:i w:val="false"/>
          <w:iCs w:val="false"/>
          <w:color w:val="000000"/>
          <w:spacing w:val="-2"/>
          <w:sz w:val="20"/>
          <w:szCs w:val="20"/>
          <w:u w:val="none"/>
          <w:shd w:fill="auto" w:val="clear"/>
          <w:lang w:val="it-IT" w:eastAsia="zxx" w:bidi="ar-SA"/>
        </w:rPr>
        <w:t>€ 3.675.216,00.</w:t>
      </w:r>
    </w:p>
    <w:p>
      <w:pPr>
        <w:pStyle w:val="Oggetto"/>
        <w:suppressAutoHyphens w:val="false"/>
        <w:ind w:firstLine="567" w:left="0"/>
        <w:jc w:val="both"/>
        <w:rPr>
          <w:rFonts w:ascii="Arial" w:hAnsi="Arial"/>
          <w:b w:val="false"/>
          <w:sz w:val="20"/>
          <w:szCs w:val="20"/>
        </w:rPr>
      </w:pPr>
      <w:r>
        <w:rPr>
          <w:rFonts w:ascii="Arial" w:hAnsi="Arial"/>
          <w:b w:val="false"/>
          <w:sz w:val="20"/>
          <w:szCs w:val="20"/>
        </w:rPr>
      </w:r>
    </w:p>
    <w:p>
      <w:pPr>
        <w:pStyle w:val="NormaleCorpo"/>
        <w:spacing w:lineRule="auto" w:line="360" w:before="240" w:after="120"/>
        <w:rPr/>
      </w:pPr>
      <w:r>
        <w:rPr>
          <w:rFonts w:cs="Arial" w:ascii="Arial" w:hAnsi="Arial"/>
          <w:sz w:val="20"/>
          <w:szCs w:val="20"/>
        </w:rPr>
        <w:t>Il piano come disposto dall</w:t>
      </w:r>
      <w:r>
        <w:rPr>
          <w:rFonts w:eastAsia="Times New Roman" w:cs="Arial" w:ascii="Arial" w:hAnsi="Arial"/>
          <w:color w:val="000000"/>
          <w:spacing w:val="-2"/>
          <w:sz w:val="20"/>
          <w:szCs w:val="20"/>
          <w:lang w:bidi="ar-SA"/>
        </w:rPr>
        <w:t xml:space="preserve">’articolo 8, comma 2, del D.Lgs. 19 agosto 2005, n° 194 è stato reso disponibile per 45 giorni (sino al 9 /12/2024) al fine di permettere a tutti gli interessati di presentare osservazioni. A tal fine sono state rese disponibili 3 modalità per presentare osservazioni: </w:t>
      </w:r>
      <w:r>
        <w:rPr>
          <w:rFonts w:eastAsia="Times New Roman" w:cs="Calibri" w:ascii="Arial" w:hAnsi="Arial"/>
          <w:color w:val="000000"/>
          <w:spacing w:val="-2"/>
          <w:sz w:val="20"/>
          <w:szCs w:val="20"/>
          <w:lang w:bidi="ar-SA"/>
        </w:rPr>
        <w:t>all’indirizzo PEC della Città Metropolitana di Cagliari: ambiente</w:t>
      </w:r>
      <w:hyperlink r:id="rId7">
        <w:r>
          <w:rPr>
            <w:rStyle w:val="ListLabel100"/>
            <w:rFonts w:eastAsia="Times New Roman" w:cs="Arial" w:ascii="Arial" w:hAnsi="Arial"/>
            <w:color w:val="000000"/>
            <w:spacing w:val="-2"/>
            <w:sz w:val="20"/>
            <w:szCs w:val="20"/>
            <w:u w:val="single"/>
            <w:lang w:bidi="ar-SA"/>
          </w:rPr>
          <w:t>@pec.cittametropolitanacagliari.it</w:t>
        </w:r>
      </w:hyperlink>
      <w:r>
        <w:rPr>
          <w:rFonts w:eastAsia="Times New Roman" w:cs="Calibri" w:ascii="Arial" w:hAnsi="Arial"/>
          <w:color w:val="000000"/>
          <w:spacing w:val="-2"/>
          <w:sz w:val="20"/>
          <w:szCs w:val="20"/>
          <w:lang w:bidi="ar-SA"/>
        </w:rPr>
        <w:t xml:space="preserve">,  o all’indirizzo mail: </w:t>
      </w:r>
      <w:hyperlink r:id="rId8">
        <w:r>
          <w:rPr>
            <w:rStyle w:val="ListLabel100"/>
            <w:rFonts w:eastAsia="Times New Roman" w:cs="Arial" w:ascii="Arial" w:hAnsi="Arial"/>
            <w:color w:val="000000"/>
            <w:spacing w:val="-2"/>
            <w:sz w:val="20"/>
            <w:szCs w:val="20"/>
            <w:u w:val="single"/>
            <w:lang w:bidi="ar-SA"/>
          </w:rPr>
          <w:t>osservazionipda@cittametropolitanacagliari.it</w:t>
        </w:r>
      </w:hyperlink>
      <w:r>
        <w:rPr>
          <w:rFonts w:eastAsia="Times New Roman" w:cs="Calibri" w:ascii="Arial" w:hAnsi="Arial"/>
          <w:color w:val="000000"/>
          <w:spacing w:val="-2"/>
          <w:sz w:val="20"/>
          <w:szCs w:val="20"/>
          <w:lang w:bidi="ar-SA"/>
        </w:rPr>
        <w:t xml:space="preserve">, o tramite la piattaforma istanze on line all’indirizzo </w:t>
      </w:r>
      <w:hyperlink r:id="rId9">
        <w:r>
          <w:rPr>
            <w:rStyle w:val="ListLabel100"/>
            <w:rFonts w:eastAsia="Times New Roman" w:cs="Arial" w:ascii="Arial" w:hAnsi="Arial"/>
            <w:color w:val="000000"/>
            <w:spacing w:val="-2"/>
            <w:sz w:val="20"/>
            <w:szCs w:val="20"/>
            <w:u w:val="single"/>
            <w:lang w:bidi="ar-SA"/>
          </w:rPr>
          <w:t>https://istanze.cittametropolitanacagliari.it/portal/servizi/moduli/pre_auth</w:t>
        </w:r>
      </w:hyperlink>
      <w:r>
        <w:rPr>
          <w:rFonts w:eastAsia="Times New Roman" w:cs="Calibri" w:ascii="Arial" w:hAnsi="Arial"/>
          <w:color w:val="000000"/>
          <w:spacing w:val="-2"/>
          <w:sz w:val="20"/>
          <w:szCs w:val="20"/>
          <w:lang w:bidi="ar-SA"/>
        </w:rPr>
        <w:t>, sezione Osservazioni Piano Azione.</w:t>
      </w:r>
    </w:p>
    <w:p>
      <w:pPr>
        <w:pStyle w:val="NormaleCorpo"/>
        <w:spacing w:lineRule="auto" w:line="360" w:beforeAutospacing="1" w:after="120"/>
        <w:rPr>
          <w:rFonts w:ascii="Arial" w:hAnsi="Arial" w:cs="Arial"/>
          <w:sz w:val="18"/>
          <w:szCs w:val="22"/>
        </w:rPr>
      </w:pPr>
      <w:r>
        <w:rPr>
          <w:rFonts w:cs="Arial" w:ascii="Arial" w:hAnsi="Arial"/>
          <w:sz w:val="18"/>
          <w:szCs w:val="22"/>
        </w:rPr>
      </w:r>
    </w:p>
    <w:p>
      <w:pPr>
        <w:pStyle w:val="Heading1"/>
        <w:numPr>
          <w:ilvl w:val="0"/>
          <w:numId w:val="1"/>
        </w:numPr>
        <w:rPr>
          <w:rFonts w:ascii="Arial" w:hAnsi="Arial" w:cs="Arial"/>
          <w:sz w:val="20"/>
          <w:szCs w:val="22"/>
        </w:rPr>
      </w:pPr>
      <w:bookmarkStart w:id="22" w:name="__RefHeading__18016_1831176500"/>
      <w:bookmarkStart w:id="23" w:name="_Toc172196612"/>
      <w:bookmarkEnd w:id="22"/>
      <w:r>
        <w:rPr>
          <w:rFonts w:cs="Arial" w:ascii="Arial" w:hAnsi="Arial"/>
          <w:sz w:val="20"/>
          <w:szCs w:val="22"/>
        </w:rPr>
        <w:t>MISURE ANTIRUMORE IN ATTO E IN FASE DI PREPARAZIONE, INTERVENTI PIANIFICATI PER I SUCCESSIVI CINQUE ANNI E STRATEGIA DI LUNGO TERMINE -</w:t>
      </w:r>
      <w:r>
        <w:rPr>
          <w:rFonts w:eastAsia="Times New Roman" w:cs="Arial" w:ascii="Arial" w:hAnsi="Arial"/>
          <w:color w:val="auto"/>
          <w:sz w:val="20"/>
          <w:szCs w:val="22"/>
        </w:rPr>
        <w:t xml:space="preserve"> PIANI DI RISANAMENTO ACUSTICO DELLE INFRASTRUTTURE DI TRASPORTO - Requisiti di cui all. 5 D.Lgs. 194/2005 lett.h) – i) - l)</w:t>
      </w:r>
      <w:bookmarkEnd w:id="23"/>
    </w:p>
    <w:p>
      <w:pPr>
        <w:pStyle w:val="Standard"/>
        <w:jc w:val="both"/>
        <w:rPr>
          <w:rFonts w:ascii="Arial" w:hAnsi="Arial"/>
          <w:sz w:val="18"/>
          <w:szCs w:val="20"/>
        </w:rPr>
      </w:pPr>
      <w:r>
        <w:rPr>
          <w:rFonts w:ascii="Arial" w:hAnsi="Arial"/>
          <w:sz w:val="18"/>
          <w:szCs w:val="20"/>
        </w:rPr>
      </w:r>
    </w:p>
    <w:p>
      <w:pPr>
        <w:pStyle w:val="NormaleCorpo"/>
        <w:spacing w:lineRule="auto" w:line="360" w:beforeAutospacing="1" w:after="120"/>
        <w:rPr>
          <w:rFonts w:ascii="Arial" w:hAnsi="Arial" w:cs="Arial"/>
          <w:sz w:val="18"/>
          <w:szCs w:val="22"/>
        </w:rPr>
      </w:pPr>
      <w:r>
        <w:rPr>
          <w:rFonts w:cs="Arial" w:ascii="Arial" w:hAnsi="Arial"/>
          <w:sz w:val="18"/>
          <w:szCs w:val="22"/>
        </w:rPr>
        <w:t xml:space="preserve">I comuni ricadenti nell'Agglomerato di Cagliari, ad eccezione del Comune di Cagliari che ha approvato il Piano di risanamento che risulta attualmente al vaglio delle Autorità competenti e pertanto non ancora adottato, non hanno ancora predisposto i piani di risanamento acustico previsti dalla L. 447/1995 e dalle Direttive Regionali D.G.R. 62/9-2008. Gli interventi (barriere, asfalti fonoassorbenti, fluidificazione/regolamentazione traffico, rotonde, ecc.) con effetti sulla mitigazione del rumore sono stati, negli anni passati, eseguiti in modo puntuale e non inseriti in una programmazione legata al risanamento acustico ma in altre programmazioni quali opere pubbliche, viabilità ecc. </w:t>
      </w:r>
    </w:p>
    <w:p>
      <w:pPr>
        <w:pStyle w:val="NormaleCorpo"/>
        <w:spacing w:lineRule="auto" w:line="360" w:beforeAutospacing="1" w:after="120"/>
        <w:rPr>
          <w:rFonts w:ascii="Arial" w:hAnsi="Arial" w:cs="Arial"/>
          <w:sz w:val="18"/>
          <w:szCs w:val="22"/>
        </w:rPr>
      </w:pPr>
      <w:r>
        <w:rPr>
          <w:rFonts w:cs="Arial" w:ascii="Arial" w:hAnsi="Arial"/>
          <w:sz w:val="18"/>
          <w:szCs w:val="22"/>
        </w:rPr>
        <w:t>Sulla base delle elaborazioni eseguite da ARPAS risultano evidenti criticità relative all’esposizione al rumore da traffico veicolare nel periodo diurno in alcune zone del Comune di Quartu Sant’Elena, Cagliari ed Assemini, che sono state discusse in uno specifico incontro tecnico finalizzato a proporre interventi per la riduzione della popolazione esposta.</w:t>
      </w:r>
    </w:p>
    <w:p>
      <w:pPr>
        <w:pStyle w:val="NormaleCorpo"/>
        <w:spacing w:lineRule="auto" w:line="360" w:beforeAutospacing="1" w:after="120"/>
        <w:rPr>
          <w:rFonts w:ascii="Arial" w:hAnsi="Arial" w:cs="Arial"/>
          <w:sz w:val="18"/>
          <w:szCs w:val="22"/>
        </w:rPr>
      </w:pPr>
      <w:r>
        <w:rPr>
          <w:rFonts w:cs="Arial" w:ascii="Arial" w:hAnsi="Arial"/>
          <w:sz w:val="18"/>
          <w:szCs w:val="22"/>
        </w:rPr>
        <w:t xml:space="preserve">La tipologia generale di intervento proposta consisterà sostanzialmente in </w:t>
      </w:r>
    </w:p>
    <w:p>
      <w:pPr>
        <w:pStyle w:val="NormaleCorpo"/>
        <w:numPr>
          <w:ilvl w:val="0"/>
          <w:numId w:val="6"/>
        </w:numPr>
        <w:spacing w:lineRule="auto" w:line="360" w:beforeAutospacing="1" w:after="120"/>
        <w:rPr>
          <w:rFonts w:ascii="Arial" w:hAnsi="Arial" w:cs="Arial"/>
          <w:sz w:val="18"/>
          <w:szCs w:val="22"/>
        </w:rPr>
      </w:pPr>
      <w:r>
        <w:rPr>
          <w:rFonts w:cs="Arial" w:ascii="Arial" w:hAnsi="Arial"/>
          <w:sz w:val="18"/>
          <w:szCs w:val="22"/>
        </w:rPr>
        <w:t xml:space="preserve">riduzione della velocità con limiti di 30 km/h </w:t>
      </w:r>
    </w:p>
    <w:p>
      <w:pPr>
        <w:pStyle w:val="NormaleCorpo"/>
        <w:numPr>
          <w:ilvl w:val="0"/>
          <w:numId w:val="6"/>
        </w:numPr>
        <w:spacing w:lineRule="auto" w:line="360" w:before="0" w:after="120"/>
        <w:rPr>
          <w:rFonts w:ascii="Arial" w:hAnsi="Arial" w:cs="Arial"/>
          <w:sz w:val="18"/>
          <w:szCs w:val="22"/>
        </w:rPr>
      </w:pPr>
      <w:r>
        <w:rPr>
          <w:rFonts w:cs="Arial" w:ascii="Arial" w:hAnsi="Arial"/>
          <w:sz w:val="18"/>
          <w:szCs w:val="22"/>
        </w:rPr>
        <w:t>rimodulazione/regolamentazione del traffico cosiddetto “pesante”</w:t>
      </w:r>
    </w:p>
    <w:p>
      <w:pPr>
        <w:pStyle w:val="NormaleCorpo"/>
        <w:numPr>
          <w:ilvl w:val="0"/>
          <w:numId w:val="6"/>
        </w:numPr>
        <w:spacing w:lineRule="auto" w:line="360" w:before="0" w:after="120"/>
        <w:rPr>
          <w:rFonts w:ascii="Arial" w:hAnsi="Arial" w:cs="Arial"/>
          <w:sz w:val="18"/>
          <w:szCs w:val="22"/>
        </w:rPr>
      </w:pPr>
      <w:r>
        <w:rPr>
          <w:rFonts w:cs="Arial" w:ascii="Arial" w:hAnsi="Arial"/>
          <w:sz w:val="18"/>
          <w:szCs w:val="22"/>
        </w:rPr>
        <w:t>rifacimento della pavimentazione stradale con asfalto fonoassorbente e l’installazione di barriere acustiche</w:t>
      </w:r>
    </w:p>
    <w:p>
      <w:pPr>
        <w:pStyle w:val="NormaleCorpo"/>
        <w:spacing w:lineRule="auto" w:line="360" w:beforeAutospacing="1" w:after="120"/>
        <w:rPr>
          <w:rFonts w:ascii="Arial" w:hAnsi="Arial" w:cs="Arial"/>
          <w:sz w:val="18"/>
          <w:szCs w:val="22"/>
        </w:rPr>
      </w:pPr>
      <w:r>
        <w:rPr>
          <w:rFonts w:cs="Arial" w:ascii="Arial" w:hAnsi="Arial"/>
          <w:sz w:val="18"/>
          <w:szCs w:val="22"/>
        </w:rPr>
        <w:t xml:space="preserve">E’ stata </w:t>
      </w:r>
      <w:bookmarkStart w:id="24" w:name="_GoBack"/>
      <w:bookmarkEnd w:id="24"/>
      <w:r>
        <w:rPr>
          <w:rFonts w:cs="Arial" w:ascii="Arial" w:hAnsi="Arial"/>
          <w:sz w:val="18"/>
          <w:szCs w:val="22"/>
        </w:rPr>
        <w:t>valutata analiticamente l’efficacia degli stessi al fine della mitigazione del disturbo dal rumore da traffico veicolare (principale sorgente disturbante sulla popolazione nell'Agglomerato studiato), ovvero diminuire la popolazione esposta nelle classi più alte di dB indicati dal D.Lgs. 194/2005.</w:t>
      </w:r>
    </w:p>
    <w:p>
      <w:pPr>
        <w:pStyle w:val="NormaleCorpo"/>
        <w:spacing w:lineRule="auto" w:line="360" w:beforeAutospacing="1" w:after="120"/>
        <w:rPr>
          <w:rFonts w:ascii="Arial" w:hAnsi="Arial" w:cs="Arial"/>
          <w:sz w:val="18"/>
          <w:szCs w:val="22"/>
        </w:rPr>
      </w:pPr>
      <w:r>
        <w:rPr>
          <w:rFonts w:cs="Arial" w:ascii="Arial" w:hAnsi="Arial"/>
          <w:sz w:val="18"/>
          <w:szCs w:val="22"/>
        </w:rPr>
        <w:t>I gestori dei trasporti pubblici e/o delle relative infrastrutture hanno, negli anni passati, elaborato dei piani di contenimento del rumore ai sensi del D.M. 29/11/2000 (ANAS, RFI) ma non hanno completato e in alcuni casi dato avvio agli interventi pianificati.</w:t>
      </w:r>
    </w:p>
    <w:sectPr>
      <w:headerReference w:type="first" r:id="rId10"/>
      <w:footerReference w:type="default" r:id="rId11"/>
      <w:type w:val="nextPage"/>
      <w:pgSz w:w="11906" w:h="16838"/>
      <w:pgMar w:left="1134" w:right="1134" w:gutter="0" w:header="720" w:top="1134" w:footer="720" w:bottom="1134"/>
      <w:pgNumType w:fmt="decimal"/>
      <w:formProt w:val="false"/>
      <w:titlePg/>
      <w:textDirection w:val="lrTb"/>
      <w:docGrid w:type="default" w:linePitch="326"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Times New Roman">
    <w:charset w:val="01"/>
    <w:family w:val="swiss"/>
    <w:pitch w:val="default"/>
  </w:font>
  <w:font w:name="Aptos">
    <w:charset w:val="01"/>
    <w:family w:val="swiss"/>
    <w:pitch w:val="default"/>
  </w:font>
  <w:font w:name="Symbol">
    <w:charset w:val="01"/>
    <w:family w:val="swiss"/>
    <w:pitch w:val="default"/>
  </w:font>
  <w:font w:name="Courier New">
    <w:charset w:val="01"/>
    <w:family w:val="swiss"/>
    <w:pitch w:val="default"/>
  </w:font>
  <w:font w:name="Wingdings">
    <w:charset w:val="01"/>
    <w:family w:val="swiss"/>
    <w:pitch w:val="default"/>
  </w:font>
  <w:font w:name="OpenSymbol">
    <w:altName w:val="Arial Unicode MS"/>
    <w:charset w:val="01"/>
    <w:family w:val="swiss"/>
    <w:pitch w:val="default"/>
  </w:font>
  <w:font w:name="Arial">
    <w:charset w:val="01"/>
    <w:family w:val="swiss"/>
    <w:pitch w:val="default"/>
  </w:font>
  <w:font w:name="Calibri">
    <w:charset w:val="01"/>
    <w:family w:val="swiss"/>
    <w:pitch w:val="default"/>
  </w:font>
  <w:font w:name="Futura Std Book">
    <w:charset w:val="01"/>
    <w:family w:val="swiss"/>
    <w:pitch w:val="default"/>
  </w:font>
  <w:font w:name="Aptos Display">
    <w:charset w:val="01"/>
    <w:family w:val="swiss"/>
    <w:pitch w:val="default"/>
  </w:font>
  <w:font w:name="Arial MT">
    <w:charset w:val="01"/>
    <w:family w:val="swiss"/>
    <w:pitch w:val="default"/>
  </w:font>
  <w:font w:name="Calibri">
    <w:charset w:val="00"/>
    <w:family w:val="swiss"/>
    <w:pitch w:val="variable"/>
  </w:font>
  <w:font w:name="Arial Black">
    <w:charset w:val="01"/>
    <w:family w:val="swiss"/>
    <w:pitch w:val="default"/>
  </w:font>
  <w:font w:name="Courier New">
    <w:charset w:val="01"/>
    <w:family w:val="modern"/>
    <w:pitch w:val="fixed"/>
  </w:font>
  <w:font w:name="Wingdings">
    <w:charset w:val="02"/>
    <w:family w:val="auto"/>
    <w:pitch w:val="variable"/>
  </w:font>
  <w:font w:name="Wingdings">
    <w:charset w:val="02"/>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tbl>
    <w:tblPr>
      <w:tblW w:w="9776" w:type="dxa"/>
      <w:jc w:val="left"/>
      <w:tblInd w:w="0" w:type="dxa"/>
      <w:tblLayout w:type="fixed"/>
      <w:tblCellMar>
        <w:top w:w="0" w:type="dxa"/>
        <w:left w:w="113" w:type="dxa"/>
        <w:bottom w:w="0" w:type="dxa"/>
        <w:right w:w="113" w:type="dxa"/>
      </w:tblCellMar>
      <w:tblLook w:firstRow="1" w:noVBand="1" w:lastRow="0" w:firstColumn="1" w:lastColumn="0" w:noHBand="0" w:val="04a0"/>
    </w:tblPr>
    <w:tblGrid>
      <w:gridCol w:w="2404"/>
      <w:gridCol w:w="4535"/>
      <w:gridCol w:w="2837"/>
    </w:tblGrid>
    <w:tr>
      <w:trPr/>
      <w:tc>
        <w:tcPr>
          <w:tcW w:w="2404" w:type="dxa"/>
          <w:vMerge w:val="restart"/>
          <w:tcBorders>
            <w:top w:val="single" w:sz="4" w:space="0" w:color="000000"/>
            <w:left w:val="single" w:sz="4" w:space="0" w:color="000000"/>
            <w:bottom w:val="single" w:sz="4" w:space="0" w:color="000000"/>
          </w:tcBorders>
          <w:vAlign w:val="center"/>
        </w:tcPr>
        <w:p>
          <w:pPr>
            <w:pStyle w:val="Standard"/>
            <w:jc w:val="center"/>
            <w:rPr>
              <w:rFonts w:ascii="Arial" w:hAnsi="Arial"/>
              <w:b/>
              <w:bCs/>
              <w:sz w:val="20"/>
              <w:szCs w:val="20"/>
            </w:rPr>
          </w:pPr>
          <w:r>
            <w:rPr>
              <w:rFonts w:ascii="Arial" w:hAnsi="Arial"/>
              <w:b/>
              <w:bCs/>
              <w:sz w:val="20"/>
              <w:szCs w:val="20"/>
            </w:rPr>
            <w:t>ELABORATO</w:t>
          </w:r>
        </w:p>
      </w:tc>
      <w:tc>
        <w:tcPr>
          <w:tcW w:w="4535" w:type="dxa"/>
          <w:tcBorders>
            <w:top w:val="single" w:sz="4" w:space="0" w:color="000000"/>
            <w:left w:val="single" w:sz="4" w:space="0" w:color="000000"/>
            <w:bottom w:val="single" w:sz="4" w:space="0" w:color="000000"/>
          </w:tcBorders>
          <w:vAlign w:val="center"/>
        </w:tcPr>
        <w:p>
          <w:pPr>
            <w:pStyle w:val="Standard"/>
            <w:jc w:val="center"/>
            <w:rPr>
              <w:rFonts w:ascii="Arial" w:hAnsi="Arial"/>
              <w:i/>
              <w:i/>
              <w:iCs/>
              <w:sz w:val="20"/>
              <w:szCs w:val="20"/>
            </w:rPr>
          </w:pPr>
          <w:r>
            <w:rPr>
              <w:rFonts w:ascii="Arial" w:hAnsi="Arial"/>
              <w:i/>
              <w:iCs/>
              <w:sz w:val="20"/>
              <w:szCs w:val="20"/>
            </w:rPr>
            <w:t>Codice</w:t>
          </w:r>
        </w:p>
      </w:tc>
      <w:tc>
        <w:tcPr>
          <w:tcW w:w="2837" w:type="dxa"/>
          <w:tcBorders>
            <w:top w:val="single" w:sz="4" w:space="0" w:color="000000"/>
            <w:left w:val="single" w:sz="4" w:space="0" w:color="000000"/>
            <w:bottom w:val="single" w:sz="4" w:space="0" w:color="000000"/>
            <w:right w:val="single" w:sz="4" w:space="0" w:color="000000"/>
          </w:tcBorders>
          <w:vAlign w:val="center"/>
        </w:tcPr>
        <w:p>
          <w:pPr>
            <w:pStyle w:val="Standard"/>
            <w:jc w:val="center"/>
            <w:rPr>
              <w:rFonts w:ascii="Arial" w:hAnsi="Arial"/>
              <w:i/>
              <w:i/>
              <w:iCs/>
              <w:sz w:val="20"/>
              <w:szCs w:val="20"/>
            </w:rPr>
          </w:pPr>
          <w:r>
            <w:rPr>
              <w:rFonts w:ascii="Arial" w:hAnsi="Arial"/>
              <w:i/>
              <w:iCs/>
              <w:sz w:val="20"/>
              <w:szCs w:val="20"/>
            </w:rPr>
            <w:t>Data</w:t>
          </w:r>
        </w:p>
      </w:tc>
    </w:tr>
    <w:tr>
      <w:trPr/>
      <w:tc>
        <w:tcPr>
          <w:tcW w:w="2404" w:type="dxa"/>
          <w:vMerge w:val="continue"/>
          <w:tcBorders>
            <w:top w:val="single" w:sz="4" w:space="0" w:color="000000"/>
            <w:left w:val="single" w:sz="4" w:space="0" w:color="000000"/>
            <w:bottom w:val="single" w:sz="4" w:space="0" w:color="000000"/>
          </w:tcBorders>
          <w:vAlign w:val="center"/>
        </w:tcPr>
        <w:p>
          <w:pPr>
            <w:pStyle w:val="Normal"/>
            <w:rPr/>
          </w:pPr>
          <w:r>
            <w:rPr/>
          </w:r>
        </w:p>
      </w:tc>
      <w:tc>
        <w:tcPr>
          <w:tcW w:w="4535" w:type="dxa"/>
          <w:tcBorders>
            <w:left w:val="single" w:sz="4" w:space="0" w:color="000000"/>
            <w:bottom w:val="single" w:sz="4" w:space="0" w:color="000000"/>
          </w:tcBorders>
          <w:vAlign w:val="center"/>
        </w:tcPr>
        <w:p>
          <w:pPr>
            <w:pStyle w:val="Standard"/>
            <w:jc w:val="center"/>
            <w:rPr>
              <w:rFonts w:ascii="Arial" w:hAnsi="Arial"/>
              <w:b/>
              <w:bCs/>
              <w:sz w:val="20"/>
              <w:szCs w:val="20"/>
            </w:rPr>
          </w:pPr>
          <w:r>
            <w:rPr>
              <w:rFonts w:ascii="Arial" w:hAnsi="Arial"/>
              <w:b/>
              <w:bCs/>
              <w:sz w:val="20"/>
              <w:szCs w:val="20"/>
            </w:rPr>
            <w:t>SummaryReport_2023_AG_IT_00_00013_</w:t>
          </w:r>
        </w:p>
      </w:tc>
      <w:tc>
        <w:tcPr>
          <w:tcW w:w="2837" w:type="dxa"/>
          <w:tcBorders>
            <w:left w:val="single" w:sz="4" w:space="0" w:color="000000"/>
            <w:bottom w:val="single" w:sz="4" w:space="0" w:color="000000"/>
            <w:right w:val="single" w:sz="4" w:space="0" w:color="000000"/>
          </w:tcBorders>
          <w:vAlign w:val="center"/>
        </w:tcPr>
        <w:p>
          <w:pPr>
            <w:pStyle w:val="Standard"/>
            <w:jc w:val="center"/>
            <w:rPr>
              <w:rFonts w:ascii="Arial" w:hAnsi="Arial"/>
              <w:b/>
              <w:bCs/>
              <w:sz w:val="20"/>
              <w:szCs w:val="20"/>
            </w:rPr>
          </w:pPr>
          <w:r>
            <w:rPr>
              <w:rFonts w:ascii="Arial" w:hAnsi="Arial"/>
              <w:b/>
              <w:bCs/>
              <w:sz w:val="20"/>
              <w:szCs w:val="20"/>
            </w:rPr>
            <w:t>10/12/2024</w:t>
          </w:r>
        </w:p>
      </w:tc>
    </w:tr>
  </w:tbl>
  <w:p>
    <w:pPr>
      <w:pStyle w:val="Footer"/>
      <w:jc w:val="center"/>
      <w:rPr>
        <w:rFonts w:ascii="Arial" w:hAnsi="Arial"/>
        <w:b/>
        <w:bCs/>
        <w:sz w:val="20"/>
        <w:szCs w:val="20"/>
      </w:rPr>
    </w:pPr>
    <w:r>
      <w:rPr>
        <w:rFonts w:ascii="Arial" w:hAnsi="Arial"/>
        <w:b/>
        <w:bCs/>
        <w:sz w:val="20"/>
        <w:szCs w:val="20"/>
      </w:rPr>
    </w:r>
  </w:p>
  <w:p>
    <w:pPr>
      <w:pStyle w:val="Footer"/>
      <w:jc w:val="center"/>
      <w:rPr>
        <w:rFonts w:ascii="Arial" w:hAnsi="Arial"/>
        <w:b/>
        <w:bCs/>
        <w:sz w:val="20"/>
        <w:szCs w:val="20"/>
      </w:rPr>
    </w:pPr>
    <w:r>
      <w:rPr>
        <w:rFonts w:ascii="Arial" w:hAnsi="Arial"/>
        <w:b/>
        <w:bCs/>
        <w:sz w:val="20"/>
        <w:szCs w:val="20"/>
      </w:rPr>
      <w:t xml:space="preserve">Pag. </w:t>
    </w:r>
    <w:r>
      <w:rPr>
        <w:rFonts w:ascii="Arial" w:hAnsi="Arial"/>
        <w:b/>
        <w:bCs/>
        <w:sz w:val="20"/>
        <w:szCs w:val="20"/>
      </w:rPr>
      <w:fldChar w:fldCharType="begin"/>
    </w:r>
    <w:r>
      <w:rPr>
        <w:sz w:val="20"/>
        <w:b/>
        <w:szCs w:val="20"/>
        <w:bCs/>
        <w:rFonts w:ascii="Arial" w:hAnsi="Arial"/>
      </w:rPr>
      <w:instrText xml:space="preserve"> PAGE </w:instrText>
    </w:r>
    <w:r>
      <w:rPr>
        <w:sz w:val="20"/>
        <w:b/>
        <w:szCs w:val="20"/>
        <w:bCs/>
        <w:rFonts w:ascii="Arial" w:hAnsi="Arial"/>
      </w:rPr>
      <w:fldChar w:fldCharType="separate"/>
    </w:r>
    <w:r>
      <w:rPr>
        <w:sz w:val="20"/>
        <w:b/>
        <w:szCs w:val="20"/>
        <w:bCs/>
        <w:rFonts w:ascii="Arial" w:hAnsi="Arial"/>
      </w:rPr>
      <w:t>2</w:t>
    </w:r>
    <w:r>
      <w:rPr>
        <w:sz w:val="20"/>
        <w:b/>
        <w:szCs w:val="20"/>
        <w:bCs/>
        <w:rFonts w:ascii="Arial" w:hAnsi="Arial"/>
      </w:rPr>
      <w:fldChar w:fldCharType="end"/>
    </w:r>
    <w:r>
      <w:rPr>
        <w:rFonts w:ascii="Arial" w:hAnsi="Arial"/>
        <w:b/>
        <w:bCs/>
        <w:sz w:val="20"/>
        <w:szCs w:val="20"/>
      </w:rPr>
      <w:t xml:space="preserve"> di </w:t>
    </w:r>
    <w:r>
      <w:rPr>
        <w:rFonts w:ascii="Arial" w:hAnsi="Arial"/>
        <w:b/>
        <w:bCs/>
        <w:sz w:val="20"/>
        <w:szCs w:val="20"/>
      </w:rPr>
      <w:fldChar w:fldCharType="begin"/>
    </w:r>
    <w:r>
      <w:rPr>
        <w:sz w:val="20"/>
        <w:b/>
        <w:szCs w:val="20"/>
        <w:bCs/>
        <w:rFonts w:ascii="Arial" w:hAnsi="Arial"/>
      </w:rPr>
      <w:instrText xml:space="preserve"> NUMPAGES </w:instrText>
    </w:r>
    <w:r>
      <w:rPr>
        <w:sz w:val="20"/>
        <w:b/>
        <w:szCs w:val="20"/>
        <w:bCs/>
        <w:rFonts w:ascii="Arial" w:hAnsi="Arial"/>
      </w:rPr>
      <w:fldChar w:fldCharType="separate"/>
    </w:r>
    <w:r>
      <w:rPr>
        <w:sz w:val="20"/>
        <w:b/>
        <w:szCs w:val="20"/>
        <w:bCs/>
        <w:rFonts w:ascii="Arial" w:hAnsi="Arial"/>
      </w:rPr>
      <w:t>18</w:t>
    </w:r>
    <w:r>
      <w:rPr>
        <w:sz w:val="20"/>
        <w:b/>
        <w:szCs w:val="20"/>
        <w:bCs/>
        <w:rFonts w:ascii="Arial" w:hAnsi="Arial"/>
      </w:rPr>
      <w:fldChar w:fldCharType="end"/>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tbl>
    <w:tblPr>
      <w:tblStyle w:val="TableNormal"/>
      <w:tblW w:w="9638" w:type="dxa"/>
      <w:jc w:val="left"/>
      <w:tblInd w:w="400" w:type="dxa"/>
      <w:tblLayout w:type="fixed"/>
      <w:tblCellMar>
        <w:top w:w="0" w:type="dxa"/>
        <w:left w:w="5" w:type="dxa"/>
        <w:bottom w:w="0" w:type="dxa"/>
        <w:right w:w="5" w:type="dxa"/>
      </w:tblCellMar>
      <w:tblLook w:firstRow="1" w:noVBand="0" w:lastRow="1" w:firstColumn="1" w:lastColumn="1" w:noHBand="0" w:val="01e0"/>
    </w:tblPr>
    <w:tblGrid>
      <w:gridCol w:w="4170"/>
      <w:gridCol w:w="5467"/>
    </w:tblGrid>
    <w:tr>
      <w:trPr>
        <w:trHeight w:val="845" w:hRule="atLeast"/>
      </w:trPr>
      <w:tc>
        <w:tcPr>
          <w:tcW w:w="4170" w:type="dxa"/>
          <w:tcBorders>
            <w:top w:val="single" w:sz="6" w:space="0" w:color="000000"/>
            <w:left w:val="single" w:sz="4" w:space="0" w:color="000000"/>
            <w:bottom w:val="single" w:sz="6" w:space="0" w:color="000000"/>
            <w:right w:val="single" w:sz="4" w:space="0" w:color="000000"/>
          </w:tcBorders>
        </w:tcPr>
        <w:p>
          <w:pPr>
            <w:pStyle w:val="TableParagraph"/>
            <w:widowControl w:val="false"/>
            <w:spacing w:before="8" w:after="0"/>
            <w:ind w:left="0"/>
            <w:jc w:val="left"/>
            <w:rPr>
              <w:rFonts w:ascii="Times New Roman" w:hAnsi="Times New Roman"/>
              <w:sz w:val="7"/>
            </w:rPr>
          </w:pPr>
          <w:r>
            <w:rPr>
              <w:rFonts w:ascii="Times New Roman" w:hAnsi="Times New Roman"/>
              <w:sz w:val="7"/>
            </w:rPr>
          </w:r>
        </w:p>
        <w:p>
          <w:pPr>
            <w:pStyle w:val="TableParagraph"/>
            <w:widowControl w:val="false"/>
            <w:spacing w:before="0" w:after="0"/>
            <w:ind w:left="1775"/>
            <w:jc w:val="left"/>
            <w:rPr>
              <w:rFonts w:ascii="Times New Roman" w:hAnsi="Times New Roman"/>
              <w:sz w:val="20"/>
            </w:rPr>
          </w:pPr>
          <w:r>
            <w:rPr/>
            <w:drawing>
              <wp:inline distT="0" distB="0" distL="0" distR="0">
                <wp:extent cx="385445" cy="471805"/>
                <wp:effectExtent l="0" t="0" r="0" b="0"/>
                <wp:docPr id="6" name="Image 2" descr="Immagine che contiene simbolo, grafica, Elementi grafici, Rettango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2" descr="Immagine che contiene simbolo, grafica, Elementi grafici, Rettangolo&#10;&#10;Descrizione generata automaticamente"/>
                        <pic:cNvPicPr>
                          <a:picLocks noChangeAspect="1" noChangeArrowheads="1"/>
                        </pic:cNvPicPr>
                      </pic:nvPicPr>
                      <pic:blipFill>
                        <a:blip r:embed="rId1"/>
                        <a:stretch>
                          <a:fillRect/>
                        </a:stretch>
                      </pic:blipFill>
                      <pic:spPr bwMode="auto">
                        <a:xfrm>
                          <a:off x="0" y="0"/>
                          <a:ext cx="385445" cy="471805"/>
                        </a:xfrm>
                        <a:prstGeom prst="rect">
                          <a:avLst/>
                        </a:prstGeom>
                      </pic:spPr>
                    </pic:pic>
                  </a:graphicData>
                </a:graphic>
              </wp:inline>
            </w:drawing>
          </w:r>
        </w:p>
      </w:tc>
      <w:tc>
        <w:tcPr>
          <w:tcW w:w="5467" w:type="dxa"/>
          <w:tcBorders>
            <w:top w:val="single" w:sz="6" w:space="0" w:color="000000"/>
            <w:left w:val="single" w:sz="4" w:space="0" w:color="000000"/>
            <w:bottom w:val="single" w:sz="6" w:space="0" w:color="000000"/>
            <w:right w:val="single" w:sz="4" w:space="0" w:color="000000"/>
          </w:tcBorders>
        </w:tcPr>
        <w:p>
          <w:pPr>
            <w:pStyle w:val="TableParagraph"/>
            <w:widowControl w:val="false"/>
            <w:spacing w:before="0" w:after="0"/>
            <w:ind w:left="2368"/>
            <w:jc w:val="left"/>
            <w:rPr>
              <w:rFonts w:ascii="Times New Roman" w:hAnsi="Times New Roman"/>
              <w:sz w:val="20"/>
            </w:rPr>
          </w:pPr>
          <w:r>
            <w:rPr/>
            <w:drawing>
              <wp:inline distT="0" distB="0" distL="0" distR="0">
                <wp:extent cx="469265" cy="536575"/>
                <wp:effectExtent l="0" t="0" r="0" b="0"/>
                <wp:docPr id="7" name="Image 3" descr="Immagine che contiene simbolo, emblema, Simmetria, cres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3" descr="Immagine che contiene simbolo, emblema, Simmetria, cresta&#10;&#10;Descrizione generata automaticamente"/>
                        <pic:cNvPicPr>
                          <a:picLocks noChangeAspect="1" noChangeArrowheads="1"/>
                        </pic:cNvPicPr>
                      </pic:nvPicPr>
                      <pic:blipFill>
                        <a:blip r:embed="rId2"/>
                        <a:stretch>
                          <a:fillRect/>
                        </a:stretch>
                      </pic:blipFill>
                      <pic:spPr bwMode="auto">
                        <a:xfrm>
                          <a:off x="0" y="0"/>
                          <a:ext cx="469265" cy="536575"/>
                        </a:xfrm>
                        <a:prstGeom prst="rect">
                          <a:avLst/>
                        </a:prstGeom>
                      </pic:spPr>
                    </pic:pic>
                  </a:graphicData>
                </a:graphic>
              </wp:inline>
            </w:drawing>
          </w:r>
        </w:p>
      </w:tc>
    </w:tr>
    <w:tr>
      <w:trPr>
        <w:trHeight w:val="296" w:hRule="atLeast"/>
      </w:trPr>
      <w:tc>
        <w:tcPr>
          <w:tcW w:w="4170" w:type="dxa"/>
          <w:tcBorders>
            <w:top w:val="single" w:sz="6" w:space="0" w:color="000000"/>
            <w:left w:val="single" w:sz="4" w:space="0" w:color="000000"/>
            <w:right w:val="single" w:sz="4" w:space="0" w:color="000000"/>
          </w:tcBorders>
        </w:tcPr>
        <w:p>
          <w:pPr>
            <w:pStyle w:val="TableParagraph"/>
            <w:widowControl w:val="false"/>
            <w:spacing w:before="0" w:after="0"/>
            <w:ind w:left="0"/>
            <w:jc w:val="left"/>
            <w:rPr>
              <w:rFonts w:ascii="Times New Roman" w:hAnsi="Times New Roman"/>
              <w:sz w:val="18"/>
            </w:rPr>
          </w:pPr>
          <w:r>
            <w:rPr>
              <w:rFonts w:ascii="Times New Roman" w:hAnsi="Times New Roman"/>
              <w:sz w:val="18"/>
            </w:rPr>
          </w:r>
        </w:p>
      </w:tc>
      <w:tc>
        <w:tcPr>
          <w:tcW w:w="5467" w:type="dxa"/>
          <w:tcBorders>
            <w:top w:val="single" w:sz="6" w:space="0" w:color="000000"/>
            <w:left w:val="single" w:sz="4" w:space="0" w:color="000000"/>
            <w:right w:val="single" w:sz="4" w:space="0" w:color="000000"/>
          </w:tcBorders>
        </w:tcPr>
        <w:p>
          <w:pPr>
            <w:pStyle w:val="TableParagraph"/>
            <w:widowControl w:val="false"/>
            <w:spacing w:before="20" w:after="0"/>
            <w:ind w:left="0"/>
            <w:jc w:val="left"/>
            <w:rPr>
              <w:rFonts w:ascii="Times New Roman" w:hAnsi="Times New Roman"/>
              <w:sz w:val="9"/>
            </w:rPr>
          </w:pPr>
          <w:r>
            <w:rPr>
              <w:rFonts w:ascii="Times New Roman" w:hAnsi="Times New Roman"/>
              <w:sz w:val="9"/>
            </w:rPr>
          </w:r>
        </w:p>
        <w:p>
          <w:pPr>
            <w:pStyle w:val="TableParagraph"/>
            <w:widowControl w:val="false"/>
            <w:spacing w:before="0" w:after="0"/>
            <w:ind w:left="12" w:right="13"/>
            <w:jc w:val="center"/>
            <w:rPr>
              <w:rFonts w:ascii="Arial" w:hAnsi="Arial"/>
              <w:b/>
              <w:sz w:val="9"/>
            </w:rPr>
          </w:pPr>
          <w:r>
            <w:rPr>
              <w:rFonts w:ascii="Arial" w:hAnsi="Arial"/>
              <w:b/>
              <w:sz w:val="9"/>
              <w:lang w:val="en-US"/>
            </w:rPr>
            <w:t>REGIONE</w:t>
          </w:r>
          <w:r>
            <w:rPr>
              <w:rFonts w:ascii="Arial" w:hAnsi="Arial"/>
              <w:b/>
              <w:spacing w:val="15"/>
              <w:sz w:val="9"/>
              <w:lang w:val="en-US"/>
            </w:rPr>
            <w:t xml:space="preserve"> </w:t>
          </w:r>
          <w:r>
            <w:rPr>
              <w:rFonts w:ascii="Arial" w:hAnsi="Arial"/>
              <w:b/>
              <w:sz w:val="9"/>
              <w:lang w:val="en-US"/>
            </w:rPr>
            <w:t>AUTÒNOMA</w:t>
          </w:r>
          <w:r>
            <w:rPr>
              <w:rFonts w:ascii="Arial" w:hAnsi="Arial"/>
              <w:b/>
              <w:spacing w:val="10"/>
              <w:sz w:val="9"/>
              <w:lang w:val="en-US"/>
            </w:rPr>
            <w:t xml:space="preserve"> </w:t>
          </w:r>
          <w:r>
            <w:rPr>
              <w:rFonts w:ascii="Arial" w:hAnsi="Arial"/>
              <w:b/>
              <w:sz w:val="9"/>
              <w:lang w:val="en-US"/>
            </w:rPr>
            <w:t>DE</w:t>
          </w:r>
          <w:r>
            <w:rPr>
              <w:rFonts w:ascii="Arial" w:hAnsi="Arial"/>
              <w:b/>
              <w:spacing w:val="16"/>
              <w:sz w:val="9"/>
              <w:lang w:val="en-US"/>
            </w:rPr>
            <w:t xml:space="preserve"> </w:t>
          </w:r>
          <w:r>
            <w:rPr>
              <w:rFonts w:ascii="Arial" w:hAnsi="Arial"/>
              <w:b/>
              <w:spacing w:val="-2"/>
              <w:sz w:val="9"/>
              <w:lang w:val="en-US"/>
            </w:rPr>
            <w:t>SARDIGNA</w:t>
          </w:r>
        </w:p>
      </w:tc>
    </w:tr>
    <w:tr>
      <w:trPr>
        <w:trHeight w:val="218" w:hRule="atLeast"/>
      </w:trPr>
      <w:tc>
        <w:tcPr>
          <w:tcW w:w="4170" w:type="dxa"/>
          <w:tcBorders>
            <w:left w:val="single" w:sz="4" w:space="0" w:color="000000"/>
            <w:right w:val="single" w:sz="4" w:space="0" w:color="000000"/>
          </w:tcBorders>
        </w:tcPr>
        <w:p>
          <w:pPr>
            <w:pStyle w:val="TableParagraph"/>
            <w:widowControl w:val="false"/>
            <w:spacing w:before="0" w:after="0"/>
            <w:ind w:left="0"/>
            <w:jc w:val="left"/>
            <w:rPr>
              <w:rFonts w:ascii="Times New Roman" w:hAnsi="Times New Roman"/>
              <w:sz w:val="14"/>
            </w:rPr>
          </w:pPr>
          <w:r>
            <w:rPr>
              <w:rFonts w:ascii="Times New Roman" w:hAnsi="Times New Roman"/>
              <w:sz w:val="14"/>
            </w:rPr>
          </w:r>
        </w:p>
      </w:tc>
      <w:tc>
        <w:tcPr>
          <w:tcW w:w="5467" w:type="dxa"/>
          <w:tcBorders>
            <w:left w:val="single" w:sz="4" w:space="0" w:color="000000"/>
            <w:right w:val="single" w:sz="4" w:space="0" w:color="000000"/>
          </w:tcBorders>
        </w:tcPr>
        <w:p>
          <w:pPr>
            <w:pStyle w:val="TableParagraph"/>
            <w:widowControl w:val="false"/>
            <w:spacing w:before="67" w:after="0"/>
            <w:ind w:left="12" w:right="15"/>
            <w:jc w:val="center"/>
            <w:rPr>
              <w:rFonts w:ascii="Arial" w:hAnsi="Arial"/>
              <w:b/>
              <w:sz w:val="9"/>
            </w:rPr>
          </w:pPr>
          <w:r>
            <w:rPr>
              <w:rFonts w:ascii="Arial" w:hAnsi="Arial"/>
              <w:b/>
              <w:sz w:val="9"/>
              <w:lang w:val="en-US"/>
            </w:rPr>
            <w:t>REGIONE</w:t>
          </w:r>
          <w:r>
            <w:rPr>
              <w:rFonts w:ascii="Arial" w:hAnsi="Arial"/>
              <w:b/>
              <w:spacing w:val="16"/>
              <w:sz w:val="9"/>
              <w:lang w:val="en-US"/>
            </w:rPr>
            <w:t xml:space="preserve"> </w:t>
          </w:r>
          <w:r>
            <w:rPr>
              <w:rFonts w:ascii="Arial" w:hAnsi="Arial"/>
              <w:b/>
              <w:sz w:val="9"/>
              <w:lang w:val="en-US"/>
            </w:rPr>
            <w:t>AUTONOMA</w:t>
          </w:r>
          <w:r>
            <w:rPr>
              <w:rFonts w:ascii="Arial" w:hAnsi="Arial"/>
              <w:b/>
              <w:spacing w:val="12"/>
              <w:sz w:val="9"/>
              <w:lang w:val="en-US"/>
            </w:rPr>
            <w:t xml:space="preserve"> </w:t>
          </w:r>
          <w:r>
            <w:rPr>
              <w:rFonts w:ascii="Arial" w:hAnsi="Arial"/>
              <w:b/>
              <w:sz w:val="9"/>
              <w:lang w:val="en-US"/>
            </w:rPr>
            <w:t>DELLA</w:t>
          </w:r>
          <w:r>
            <w:rPr>
              <w:rFonts w:ascii="Arial" w:hAnsi="Arial"/>
              <w:b/>
              <w:spacing w:val="11"/>
              <w:sz w:val="9"/>
              <w:lang w:val="en-US"/>
            </w:rPr>
            <w:t xml:space="preserve"> </w:t>
          </w:r>
          <w:r>
            <w:rPr>
              <w:rFonts w:ascii="Arial" w:hAnsi="Arial"/>
              <w:b/>
              <w:spacing w:val="-2"/>
              <w:sz w:val="9"/>
              <w:lang w:val="en-US"/>
            </w:rPr>
            <w:t>SARDEGNA</w:t>
          </w:r>
        </w:p>
      </w:tc>
    </w:tr>
    <w:tr>
      <w:trPr>
        <w:trHeight w:val="485" w:hRule="atLeast"/>
      </w:trPr>
      <w:tc>
        <w:tcPr>
          <w:tcW w:w="4170" w:type="dxa"/>
          <w:tcBorders>
            <w:left w:val="single" w:sz="4" w:space="0" w:color="000000"/>
            <w:right w:val="single" w:sz="4" w:space="0" w:color="000000"/>
          </w:tcBorders>
        </w:tcPr>
        <w:p>
          <w:pPr>
            <w:pStyle w:val="TableParagraph"/>
            <w:widowControl w:val="false"/>
            <w:spacing w:before="102" w:after="0"/>
            <w:ind w:left="10"/>
            <w:jc w:val="center"/>
            <w:rPr>
              <w:rFonts w:ascii="Arial" w:hAnsi="Arial"/>
              <w:b/>
              <w:sz w:val="20"/>
            </w:rPr>
          </w:pPr>
          <w:r>
            <w:rPr>
              <w:rFonts w:ascii="Arial" w:hAnsi="Arial"/>
              <w:b/>
              <w:sz w:val="20"/>
              <w:lang w:val="en-US"/>
            </w:rPr>
            <w:t>Città</w:t>
          </w:r>
          <w:r>
            <w:rPr>
              <w:rFonts w:ascii="Arial" w:hAnsi="Arial"/>
              <w:b/>
              <w:spacing w:val="-5"/>
              <w:sz w:val="20"/>
              <w:lang w:val="en-US"/>
            </w:rPr>
            <w:t xml:space="preserve"> </w:t>
          </w:r>
          <w:r>
            <w:rPr>
              <w:rFonts w:ascii="Arial" w:hAnsi="Arial"/>
              <w:b/>
              <w:sz w:val="20"/>
              <w:lang w:val="en-US"/>
            </w:rPr>
            <w:t>Metropolitana</w:t>
          </w:r>
          <w:r>
            <w:rPr>
              <w:rFonts w:ascii="Arial" w:hAnsi="Arial"/>
              <w:b/>
              <w:spacing w:val="-5"/>
              <w:sz w:val="20"/>
              <w:lang w:val="en-US"/>
            </w:rPr>
            <w:t xml:space="preserve"> </w:t>
          </w:r>
          <w:r>
            <w:rPr>
              <w:rFonts w:ascii="Arial" w:hAnsi="Arial"/>
              <w:b/>
              <w:sz w:val="20"/>
              <w:lang w:val="en-US"/>
            </w:rPr>
            <w:t>di</w:t>
          </w:r>
          <w:r>
            <w:rPr>
              <w:rFonts w:ascii="Arial" w:hAnsi="Arial"/>
              <w:b/>
              <w:spacing w:val="-4"/>
              <w:sz w:val="20"/>
              <w:lang w:val="en-US"/>
            </w:rPr>
            <w:t xml:space="preserve"> </w:t>
          </w:r>
          <w:r>
            <w:rPr>
              <w:rFonts w:ascii="Arial" w:hAnsi="Arial"/>
              <w:b/>
              <w:spacing w:val="-2"/>
              <w:sz w:val="20"/>
              <w:lang w:val="en-US"/>
            </w:rPr>
            <w:t>Cagliari</w:t>
          </w:r>
        </w:p>
      </w:tc>
      <w:tc>
        <w:tcPr>
          <w:tcW w:w="5467" w:type="dxa"/>
          <w:tcBorders>
            <w:left w:val="single" w:sz="4" w:space="0" w:color="000000"/>
            <w:right w:val="single" w:sz="4" w:space="0" w:color="000000"/>
          </w:tcBorders>
        </w:tcPr>
        <w:p>
          <w:pPr>
            <w:pStyle w:val="TableParagraph"/>
            <w:widowControl w:val="false"/>
            <w:spacing w:before="42" w:after="0"/>
            <w:ind w:left="0" w:right="359"/>
            <w:jc w:val="right"/>
            <w:rPr>
              <w:sz w:val="14"/>
            </w:rPr>
          </w:pPr>
          <w:r>
            <w:rPr>
              <w:sz w:val="14"/>
              <w:lang w:val="en-US"/>
            </w:rPr>
            <w:t>AGENTZIA</w:t>
          </w:r>
          <w:r>
            <w:rPr>
              <w:spacing w:val="-7"/>
              <w:sz w:val="14"/>
              <w:lang w:val="en-US"/>
            </w:rPr>
            <w:t xml:space="preserve"> </w:t>
          </w:r>
          <w:r>
            <w:rPr>
              <w:sz w:val="14"/>
              <w:lang w:val="en-US"/>
            </w:rPr>
            <w:t>REGIONALE</w:t>
          </w:r>
          <w:r>
            <w:rPr>
              <w:spacing w:val="-2"/>
              <w:sz w:val="14"/>
              <w:lang w:val="en-US"/>
            </w:rPr>
            <w:t xml:space="preserve"> </w:t>
          </w:r>
          <w:r>
            <w:rPr>
              <w:sz w:val="14"/>
              <w:lang w:val="en-US"/>
            </w:rPr>
            <w:t>PRO</w:t>
          </w:r>
          <w:r>
            <w:rPr>
              <w:spacing w:val="-3"/>
              <w:sz w:val="14"/>
              <w:lang w:val="en-US"/>
            </w:rPr>
            <w:t xml:space="preserve"> </w:t>
          </w:r>
          <w:r>
            <w:rPr>
              <w:sz w:val="14"/>
              <w:lang w:val="en-US"/>
            </w:rPr>
            <w:t>S’AMPARU</w:t>
          </w:r>
          <w:r>
            <w:rPr>
              <w:spacing w:val="-4"/>
              <w:sz w:val="14"/>
              <w:lang w:val="en-US"/>
            </w:rPr>
            <w:t xml:space="preserve"> </w:t>
          </w:r>
          <w:r>
            <w:rPr>
              <w:sz w:val="14"/>
              <w:lang w:val="en-US"/>
            </w:rPr>
            <w:t>DE</w:t>
          </w:r>
          <w:r>
            <w:rPr>
              <w:spacing w:val="-4"/>
              <w:sz w:val="14"/>
              <w:lang w:val="en-US"/>
            </w:rPr>
            <w:t xml:space="preserve"> </w:t>
          </w:r>
          <w:r>
            <w:rPr>
              <w:sz w:val="14"/>
              <w:lang w:val="en-US"/>
            </w:rPr>
            <w:t>S’AMBIENTE</w:t>
          </w:r>
          <w:r>
            <w:rPr>
              <w:spacing w:val="-4"/>
              <w:sz w:val="14"/>
              <w:lang w:val="en-US"/>
            </w:rPr>
            <w:t xml:space="preserve"> </w:t>
          </w:r>
          <w:r>
            <w:rPr>
              <w:sz w:val="14"/>
              <w:lang w:val="en-US"/>
            </w:rPr>
            <w:t>DE</w:t>
          </w:r>
          <w:r>
            <w:rPr>
              <w:spacing w:val="-4"/>
              <w:sz w:val="14"/>
              <w:lang w:val="en-US"/>
            </w:rPr>
            <w:t xml:space="preserve"> </w:t>
          </w:r>
          <w:r>
            <w:rPr>
              <w:spacing w:val="-2"/>
              <w:sz w:val="14"/>
              <w:lang w:val="en-US"/>
            </w:rPr>
            <w:t>SARDIGNA</w:t>
          </w:r>
        </w:p>
        <w:p>
          <w:pPr>
            <w:pStyle w:val="TableParagraph"/>
            <w:widowControl w:val="false"/>
            <w:spacing w:before="79" w:after="0"/>
            <w:ind w:left="0" w:right="441"/>
            <w:jc w:val="right"/>
            <w:rPr>
              <w:sz w:val="14"/>
            </w:rPr>
          </w:pPr>
          <w:r>
            <w:rPr>
              <w:sz w:val="14"/>
              <w:lang w:val="en-US"/>
            </w:rPr>
            <w:t>AGENZIA</w:t>
          </w:r>
          <w:r>
            <w:rPr>
              <w:spacing w:val="-6"/>
              <w:sz w:val="14"/>
              <w:lang w:val="en-US"/>
            </w:rPr>
            <w:t xml:space="preserve"> </w:t>
          </w:r>
          <w:r>
            <w:rPr>
              <w:sz w:val="14"/>
              <w:lang w:val="en-US"/>
            </w:rPr>
            <w:t>REGIONALE</w:t>
          </w:r>
          <w:r>
            <w:rPr>
              <w:spacing w:val="-5"/>
              <w:sz w:val="14"/>
              <w:lang w:val="en-US"/>
            </w:rPr>
            <w:t xml:space="preserve"> </w:t>
          </w:r>
          <w:r>
            <w:rPr>
              <w:sz w:val="14"/>
              <w:lang w:val="en-US"/>
            </w:rPr>
            <w:t>PER</w:t>
          </w:r>
          <w:r>
            <w:rPr>
              <w:spacing w:val="-5"/>
              <w:sz w:val="14"/>
              <w:lang w:val="en-US"/>
            </w:rPr>
            <w:t xml:space="preserve"> </w:t>
          </w:r>
          <w:r>
            <w:rPr>
              <w:sz w:val="14"/>
              <w:lang w:val="en-US"/>
            </w:rPr>
            <w:t>LA</w:t>
          </w:r>
          <w:r>
            <w:rPr>
              <w:spacing w:val="-5"/>
              <w:sz w:val="14"/>
              <w:lang w:val="en-US"/>
            </w:rPr>
            <w:t xml:space="preserve"> </w:t>
          </w:r>
          <w:r>
            <w:rPr>
              <w:sz w:val="14"/>
              <w:lang w:val="en-US"/>
            </w:rPr>
            <w:t>PROTEZIONE</w:t>
          </w:r>
          <w:r>
            <w:rPr>
              <w:spacing w:val="-3"/>
              <w:sz w:val="14"/>
              <w:lang w:val="en-US"/>
            </w:rPr>
            <w:t xml:space="preserve"> </w:t>
          </w:r>
          <w:r>
            <w:rPr>
              <w:sz w:val="14"/>
              <w:lang w:val="en-US"/>
            </w:rPr>
            <w:t>DELL’AMBIENTE</w:t>
          </w:r>
          <w:r>
            <w:rPr>
              <w:spacing w:val="-3"/>
              <w:sz w:val="14"/>
              <w:lang w:val="en-US"/>
            </w:rPr>
            <w:t xml:space="preserve"> </w:t>
          </w:r>
          <w:r>
            <w:rPr>
              <w:spacing w:val="-4"/>
              <w:sz w:val="14"/>
              <w:lang w:val="en-US"/>
            </w:rPr>
            <w:t>DELLA</w:t>
          </w:r>
        </w:p>
      </w:tc>
    </w:tr>
    <w:tr>
      <w:trPr>
        <w:trHeight w:val="193" w:hRule="atLeast"/>
      </w:trPr>
      <w:tc>
        <w:tcPr>
          <w:tcW w:w="4170" w:type="dxa"/>
          <w:tcBorders>
            <w:left w:val="single" w:sz="4" w:space="0" w:color="000000"/>
            <w:right w:val="single" w:sz="4" w:space="0" w:color="000000"/>
          </w:tcBorders>
        </w:tcPr>
        <w:p>
          <w:pPr>
            <w:pStyle w:val="TableParagraph"/>
            <w:widowControl w:val="false"/>
            <w:spacing w:before="0" w:after="0"/>
            <w:ind w:left="0"/>
            <w:jc w:val="left"/>
            <w:rPr>
              <w:rFonts w:ascii="Times New Roman" w:hAnsi="Times New Roman"/>
              <w:sz w:val="12"/>
            </w:rPr>
          </w:pPr>
          <w:r>
            <w:rPr>
              <w:rFonts w:ascii="Times New Roman" w:hAnsi="Times New Roman"/>
              <w:sz w:val="12"/>
            </w:rPr>
          </w:r>
        </w:p>
      </w:tc>
      <w:tc>
        <w:tcPr>
          <w:tcW w:w="5467" w:type="dxa"/>
          <w:tcBorders>
            <w:left w:val="single" w:sz="4" w:space="0" w:color="000000"/>
            <w:right w:val="single" w:sz="4" w:space="0" w:color="000000"/>
          </w:tcBorders>
        </w:tcPr>
        <w:p>
          <w:pPr>
            <w:pStyle w:val="TableParagraph"/>
            <w:widowControl w:val="false"/>
            <w:spacing w:lineRule="exact" w:line="137" w:before="37" w:after="0"/>
            <w:ind w:left="15" w:right="3"/>
            <w:jc w:val="center"/>
            <w:rPr>
              <w:sz w:val="14"/>
            </w:rPr>
          </w:pPr>
          <w:r>
            <w:rPr>
              <w:spacing w:val="-2"/>
              <w:sz w:val="14"/>
              <w:lang w:val="en-US"/>
            </w:rPr>
            <w:t>SARDEGNA</w:t>
          </w:r>
        </w:p>
      </w:tc>
    </w:tr>
    <w:tr>
      <w:trPr>
        <w:trHeight w:val="243" w:hRule="atLeast"/>
      </w:trPr>
      <w:tc>
        <w:tcPr>
          <w:tcW w:w="4170" w:type="dxa"/>
          <w:tcBorders>
            <w:left w:val="single" w:sz="4" w:space="0" w:color="000000"/>
            <w:right w:val="single" w:sz="4" w:space="0" w:color="000000"/>
          </w:tcBorders>
        </w:tcPr>
        <w:p>
          <w:pPr>
            <w:pStyle w:val="TableParagraph"/>
            <w:widowControl w:val="false"/>
            <w:spacing w:lineRule="exact" w:line="219" w:before="0" w:after="0"/>
            <w:ind w:left="10"/>
            <w:jc w:val="center"/>
            <w:rPr>
              <w:sz w:val="20"/>
            </w:rPr>
          </w:pPr>
          <w:r>
            <w:rPr>
              <w:sz w:val="20"/>
              <w:lang w:val="en-US"/>
            </w:rPr>
            <w:t>Settore</w:t>
          </w:r>
          <w:r>
            <w:rPr>
              <w:spacing w:val="-5"/>
              <w:sz w:val="20"/>
              <w:lang w:val="en-US"/>
            </w:rPr>
            <w:t xml:space="preserve"> </w:t>
          </w:r>
          <w:r>
            <w:rPr>
              <w:spacing w:val="-2"/>
              <w:sz w:val="20"/>
              <w:lang w:val="en-US"/>
            </w:rPr>
            <w:t>Ambiente</w:t>
          </w:r>
        </w:p>
      </w:tc>
      <w:tc>
        <w:tcPr>
          <w:tcW w:w="5467" w:type="dxa"/>
          <w:tcBorders>
            <w:left w:val="single" w:sz="4" w:space="0" w:color="000000"/>
            <w:right w:val="single" w:sz="4" w:space="0" w:color="000000"/>
          </w:tcBorders>
        </w:tcPr>
        <w:p>
          <w:pPr>
            <w:pStyle w:val="TableParagraph"/>
            <w:widowControl w:val="false"/>
            <w:spacing w:lineRule="exact" w:line="177" w:before="46" w:after="0"/>
            <w:ind w:left="13" w:right="3"/>
            <w:jc w:val="center"/>
            <w:rPr>
              <w:rFonts w:ascii="Arial Black" w:hAnsi="Arial Black"/>
              <w:sz w:val="14"/>
            </w:rPr>
          </w:pPr>
          <w:r>
            <w:rPr>
              <w:rFonts w:ascii="Arial Black" w:hAnsi="Arial Black"/>
              <w:spacing w:val="-2"/>
              <w:sz w:val="14"/>
              <w:lang w:val="en-US"/>
            </w:rPr>
            <w:t>ARPAS</w:t>
          </w:r>
        </w:p>
      </w:tc>
    </w:tr>
    <w:tr>
      <w:trPr>
        <w:trHeight w:val="195" w:hRule="atLeast"/>
      </w:trPr>
      <w:tc>
        <w:tcPr>
          <w:tcW w:w="4170" w:type="dxa"/>
          <w:tcBorders>
            <w:left w:val="single" w:sz="4" w:space="0" w:color="000000"/>
            <w:bottom w:val="single" w:sz="4" w:space="0" w:color="000000"/>
            <w:right w:val="single" w:sz="4" w:space="0" w:color="000000"/>
          </w:tcBorders>
        </w:tcPr>
        <w:p>
          <w:pPr>
            <w:pStyle w:val="TableParagraph"/>
            <w:widowControl w:val="false"/>
            <w:spacing w:before="0" w:after="0"/>
            <w:ind w:left="0"/>
            <w:jc w:val="left"/>
            <w:rPr>
              <w:rFonts w:ascii="Times New Roman" w:hAnsi="Times New Roman"/>
              <w:sz w:val="12"/>
            </w:rPr>
          </w:pPr>
          <w:r>
            <w:rPr>
              <w:rFonts w:ascii="Times New Roman" w:hAnsi="Times New Roman"/>
              <w:sz w:val="12"/>
            </w:rPr>
          </w:r>
        </w:p>
      </w:tc>
      <w:tc>
        <w:tcPr>
          <w:tcW w:w="5467" w:type="dxa"/>
          <w:tcBorders>
            <w:left w:val="single" w:sz="4" w:space="0" w:color="000000"/>
            <w:bottom w:val="single" w:sz="4" w:space="0" w:color="000000"/>
            <w:right w:val="single" w:sz="4" w:space="0" w:color="000000"/>
          </w:tcBorders>
        </w:tcPr>
        <w:p>
          <w:pPr>
            <w:pStyle w:val="TableParagraph"/>
            <w:widowControl w:val="false"/>
            <w:spacing w:lineRule="exact" w:line="176" w:before="0" w:after="0"/>
            <w:ind w:left="12" w:right="3"/>
            <w:jc w:val="center"/>
            <w:rPr>
              <w:rFonts w:ascii="Arial Black" w:hAnsi="Arial Black"/>
              <w:sz w:val="14"/>
            </w:rPr>
          </w:pPr>
          <w:r>
            <w:rPr>
              <w:sz w:val="14"/>
              <w:lang w:val="en-US"/>
            </w:rPr>
            <w:t>Direzione</w:t>
          </w:r>
          <w:r>
            <w:rPr>
              <w:spacing w:val="-5"/>
              <w:sz w:val="14"/>
              <w:lang w:val="en-US"/>
            </w:rPr>
            <w:t xml:space="preserve"> </w:t>
          </w:r>
          <w:r>
            <w:rPr>
              <w:sz w:val="14"/>
              <w:lang w:val="en-US"/>
            </w:rPr>
            <w:t>Tecnico</w:t>
          </w:r>
          <w:r>
            <w:rPr>
              <w:spacing w:val="-5"/>
              <w:sz w:val="14"/>
              <w:lang w:val="en-US"/>
            </w:rPr>
            <w:t xml:space="preserve"> </w:t>
          </w:r>
          <w:r>
            <w:rPr>
              <w:sz w:val="14"/>
              <w:lang w:val="en-US"/>
            </w:rPr>
            <w:t>Scientifica</w:t>
          </w:r>
          <w:r>
            <w:rPr>
              <w:spacing w:val="-4"/>
              <w:sz w:val="14"/>
              <w:lang w:val="en-US"/>
            </w:rPr>
            <w:t xml:space="preserve"> </w:t>
          </w:r>
          <w:r>
            <w:rPr>
              <w:sz w:val="14"/>
              <w:lang w:val="en-US"/>
            </w:rPr>
            <w:t>-</w:t>
          </w:r>
          <w:r>
            <w:rPr>
              <w:spacing w:val="-5"/>
              <w:sz w:val="14"/>
              <w:lang w:val="en-US"/>
            </w:rPr>
            <w:t xml:space="preserve"> </w:t>
          </w:r>
          <w:r>
            <w:rPr>
              <w:sz w:val="14"/>
              <w:lang w:val="en-US"/>
            </w:rPr>
            <w:t>Servizio</w:t>
          </w:r>
          <w:r>
            <w:rPr>
              <w:spacing w:val="-2"/>
              <w:sz w:val="14"/>
              <w:lang w:val="en-US"/>
            </w:rPr>
            <w:t xml:space="preserve"> </w:t>
          </w:r>
          <w:r>
            <w:rPr>
              <w:rFonts w:ascii="Arial Black" w:hAnsi="Arial Black"/>
              <w:sz w:val="14"/>
              <w:lang w:val="en-US"/>
            </w:rPr>
            <w:t>Agenti</w:t>
          </w:r>
          <w:r>
            <w:rPr>
              <w:rFonts w:ascii="Arial Black" w:hAnsi="Arial Black"/>
              <w:spacing w:val="-6"/>
              <w:sz w:val="14"/>
              <w:lang w:val="en-US"/>
            </w:rPr>
            <w:t xml:space="preserve"> </w:t>
          </w:r>
          <w:r>
            <w:rPr>
              <w:rFonts w:ascii="Arial Black" w:hAnsi="Arial Black"/>
              <w:spacing w:val="-2"/>
              <w:sz w:val="14"/>
              <w:lang w:val="en-US"/>
            </w:rPr>
            <w:t>fisici</w:t>
          </w:r>
        </w:p>
      </w:tc>
    </w:tr>
  </w:tbl>
  <w:p>
    <w:pPr>
      <w:pStyle w:val="Header"/>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0"/>
        </w:tabs>
        <w:ind w:left="360" w:hanging="360"/>
      </w:pPr>
      <w:rPr/>
    </w:lvl>
    <w:lvl w:ilvl="1">
      <w:start w:val="1"/>
      <w:numFmt w:val="decimal"/>
      <w:lvlText w:val="%1.%2."/>
      <w:lvlJc w:val="left"/>
      <w:pPr>
        <w:tabs>
          <w:tab w:val="num" w:pos="0"/>
        </w:tabs>
        <w:ind w:left="792" w:hanging="432"/>
      </w:pPr>
      <w:rPr/>
    </w:lvl>
    <w:lvl w:ilvl="2">
      <w:start w:val="1"/>
      <w:numFmt w:val="decimal"/>
      <w:lvlText w:val="%1.%2.%3."/>
      <w:lvlJc w:val="left"/>
      <w:pPr>
        <w:tabs>
          <w:tab w:val="num" w:pos="0"/>
        </w:tabs>
        <w:ind w:left="1224" w:hanging="504"/>
      </w:pPr>
      <w:rPr/>
    </w:lvl>
    <w:lvl w:ilvl="3">
      <w:start w:val="1"/>
      <w:numFmt w:val="decimal"/>
      <w:lvlText w:val="%1.%2.%3.%4."/>
      <w:lvlJc w:val="left"/>
      <w:pPr>
        <w:tabs>
          <w:tab w:val="num" w:pos="0"/>
        </w:tabs>
        <w:ind w:left="1728" w:hanging="648"/>
      </w:pPr>
      <w:rPr/>
    </w:lvl>
    <w:lvl w:ilvl="4">
      <w:start w:val="1"/>
      <w:numFmt w:val="decimal"/>
      <w:lvlText w:val="%1.%2.%3.%4.%5."/>
      <w:lvlJc w:val="left"/>
      <w:pPr>
        <w:tabs>
          <w:tab w:val="num" w:pos="0"/>
        </w:tabs>
        <w:ind w:left="2232" w:hanging="792"/>
      </w:pPr>
      <w:rPr/>
    </w:lvl>
    <w:lvl w:ilvl="5">
      <w:start w:val="1"/>
      <w:numFmt w:val="decimal"/>
      <w:lvlText w:val="%1.%2.%3.%4.%5.%6."/>
      <w:lvlJc w:val="left"/>
      <w:pPr>
        <w:tabs>
          <w:tab w:val="num" w:pos="0"/>
        </w:tabs>
        <w:ind w:left="2736" w:hanging="936"/>
      </w:pPr>
      <w:rPr/>
    </w:lvl>
    <w:lvl w:ilvl="6">
      <w:start w:val="1"/>
      <w:numFmt w:val="decimal"/>
      <w:lvlText w:val="%1.%2.%3.%4.%5.%6.%7."/>
      <w:lvlJc w:val="left"/>
      <w:pPr>
        <w:tabs>
          <w:tab w:val="num" w:pos="0"/>
        </w:tabs>
        <w:ind w:left="3240" w:hanging="1080"/>
      </w:pPr>
      <w:rPr/>
    </w:lvl>
    <w:lvl w:ilvl="7">
      <w:start w:val="1"/>
      <w:numFmt w:val="decimal"/>
      <w:lvlText w:val="%1.%2.%3.%4.%5.%6.%7.%8."/>
      <w:lvlJc w:val="left"/>
      <w:pPr>
        <w:tabs>
          <w:tab w:val="num" w:pos="0"/>
        </w:tabs>
        <w:ind w:left="3744" w:hanging="1224"/>
      </w:pPr>
      <w:rPr/>
    </w:lvl>
    <w:lvl w:ilvl="8">
      <w:start w:val="1"/>
      <w:numFmt w:val="decimal"/>
      <w:lvlText w:val="%1.%2.%3.%4.%5.%6.%7.%8.%9."/>
      <w:lvlJc w:val="left"/>
      <w:pPr>
        <w:tabs>
          <w:tab w:val="num" w:pos="0"/>
        </w:tabs>
        <w:ind w:left="4320" w:hanging="1440"/>
      </w:pPr>
      <w:rPr/>
    </w:lvl>
  </w:abstractNum>
  <w:abstractNum w:abstractNumId="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lvl w:ilvl="0">
      <w:start w:val="1"/>
      <w:numFmt w:val="decimal"/>
      <w:lvlText w:val="%1."/>
      <w:lvlJc w:val="left"/>
      <w:pPr>
        <w:tabs>
          <w:tab w:val="num" w:pos="0"/>
        </w:tabs>
        <w:ind w:left="720" w:hanging="360"/>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5">
    <w:lvl w:ilvl="0">
      <w:start w:val="1"/>
      <w:numFmt w:val="decimal"/>
      <w:lvlText w:val="%1."/>
      <w:lvlJc w:val="left"/>
      <w:pPr>
        <w:tabs>
          <w:tab w:val="num" w:pos="0"/>
        </w:tabs>
        <w:ind w:left="720" w:hanging="360"/>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6">
    <w:lvl w:ilvl="0">
      <w:start w:val="1"/>
      <w:numFmt w:val="lowerLetter"/>
      <w:lvlText w:val="%1)"/>
      <w:lvlJc w:val="left"/>
      <w:pPr>
        <w:tabs>
          <w:tab w:val="num" w:pos="0"/>
        </w:tabs>
        <w:ind w:left="720" w:hanging="360"/>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7">
    <w:lvl w:ilvl="0">
      <w:start w:val="1"/>
      <w:numFmt w:val="bullet"/>
      <w:lvlText w:val=""/>
      <w:lvlJc w:val="left"/>
      <w:pPr>
        <w:tabs>
          <w:tab w:val="num" w:pos="0"/>
        </w:tabs>
        <w:ind w:left="720" w:hanging="360"/>
      </w:pPr>
      <w:rPr>
        <w:rFonts w:ascii="Symbol" w:hAnsi="Symbol" w:cs="Symbol" w:hint="default"/>
      </w:rPr>
    </w:lvl>
    <w:lvl w:ilvl="1">
      <w:start w:val="0"/>
      <w:numFmt w:val="bullet"/>
      <w:lvlText w:val="o"/>
      <w:lvlJc w:val="left"/>
      <w:pPr>
        <w:tabs>
          <w:tab w:val="num" w:pos="0"/>
        </w:tabs>
        <w:ind w:left="1440" w:hanging="360"/>
      </w:pPr>
      <w:rPr>
        <w:rFonts w:ascii="Courier New" w:hAnsi="Courier New" w:cs="Courier New" w:hint="default"/>
      </w:rPr>
    </w:lvl>
    <w:lvl w:ilvl="2">
      <w:start w:val="0"/>
      <w:numFmt w:val="bullet"/>
      <w:lvlText w:val=""/>
      <w:lvlJc w:val="left"/>
      <w:pPr>
        <w:tabs>
          <w:tab w:val="num" w:pos="0"/>
        </w:tabs>
        <w:ind w:left="2160" w:hanging="360"/>
      </w:pPr>
      <w:rPr>
        <w:rFonts w:ascii="Wingdings" w:hAnsi="Wingdings" w:cs="Wingdings" w:hint="default"/>
      </w:rPr>
    </w:lvl>
    <w:lvl w:ilvl="3">
      <w:start w:val="0"/>
      <w:numFmt w:val="bullet"/>
      <w:lvlText w:val=""/>
      <w:lvlJc w:val="left"/>
      <w:pPr>
        <w:tabs>
          <w:tab w:val="num" w:pos="0"/>
        </w:tabs>
        <w:ind w:left="2880" w:hanging="360"/>
      </w:pPr>
      <w:rPr>
        <w:rFonts w:ascii="Symbol" w:hAnsi="Symbol" w:cs="Symbol" w:hint="default"/>
      </w:rPr>
    </w:lvl>
    <w:lvl w:ilvl="4">
      <w:start w:val="0"/>
      <w:numFmt w:val="bullet"/>
      <w:lvlText w:val="o"/>
      <w:lvlJc w:val="left"/>
      <w:pPr>
        <w:tabs>
          <w:tab w:val="num" w:pos="0"/>
        </w:tabs>
        <w:ind w:left="3600" w:hanging="360"/>
      </w:pPr>
      <w:rPr>
        <w:rFonts w:ascii="Courier New" w:hAnsi="Courier New" w:cs="Courier New" w:hint="default"/>
      </w:rPr>
    </w:lvl>
    <w:lvl w:ilvl="5">
      <w:start w:val="0"/>
      <w:numFmt w:val="bullet"/>
      <w:lvlText w:val=""/>
      <w:lvlJc w:val="left"/>
      <w:pPr>
        <w:tabs>
          <w:tab w:val="num" w:pos="0"/>
        </w:tabs>
        <w:ind w:left="4320" w:hanging="360"/>
      </w:pPr>
      <w:rPr>
        <w:rFonts w:ascii="Wingdings" w:hAnsi="Wingdings" w:cs="Wingdings" w:hint="default"/>
      </w:rPr>
    </w:lvl>
    <w:lvl w:ilvl="6">
      <w:start w:val="0"/>
      <w:numFmt w:val="bullet"/>
      <w:lvlText w:val=""/>
      <w:lvlJc w:val="left"/>
      <w:pPr>
        <w:tabs>
          <w:tab w:val="num" w:pos="0"/>
        </w:tabs>
        <w:ind w:left="5040" w:hanging="360"/>
      </w:pPr>
      <w:rPr>
        <w:rFonts w:ascii="Symbol" w:hAnsi="Symbol" w:cs="Symbol" w:hint="default"/>
      </w:rPr>
    </w:lvl>
    <w:lvl w:ilvl="7">
      <w:start w:val="0"/>
      <w:numFmt w:val="bullet"/>
      <w:lvlText w:val="o"/>
      <w:lvlJc w:val="left"/>
      <w:pPr>
        <w:tabs>
          <w:tab w:val="num" w:pos="0"/>
        </w:tabs>
        <w:ind w:left="5760" w:hanging="360"/>
      </w:pPr>
      <w:rPr>
        <w:rFonts w:ascii="Courier New" w:hAnsi="Courier New" w:cs="Courier New" w:hint="default"/>
      </w:rPr>
    </w:lvl>
    <w:lvl w:ilvl="8">
      <w:start w:val="0"/>
      <w:numFmt w:val="bullet"/>
      <w:lvlText w:val=""/>
      <w:lvlJc w:val="left"/>
      <w:pPr>
        <w:tabs>
          <w:tab w:val="num" w:pos="0"/>
        </w:tabs>
        <w:ind w:left="6480" w:hanging="360"/>
      </w:pPr>
      <w:rPr>
        <w:rFonts w:ascii="Wingdings" w:hAnsi="Wingdings" w:cs="Wingdings" w:hint="default"/>
      </w:rPr>
    </w:lvl>
  </w:abstractNum>
  <w:abstractNum w:abstractNumId="8">
    <w:lvl w:ilvl="0">
      <w:start w:val="1"/>
      <w:numFmt w:val="bullet"/>
      <w:lvlText w:val=""/>
      <w:lvlJc w:val="left"/>
      <w:pPr>
        <w:tabs>
          <w:tab w:val="num" w:pos="0"/>
        </w:tabs>
        <w:ind w:left="720" w:hanging="360"/>
      </w:pPr>
      <w:rPr>
        <w:rFonts w:ascii="Symbol" w:hAnsi="Symbol" w:cs="Symbol" w:hint="default"/>
      </w:rPr>
    </w:lvl>
    <w:lvl w:ilvl="1">
      <w:start w:val="0"/>
      <w:numFmt w:val="bullet"/>
      <w:lvlText w:val="o"/>
      <w:lvlJc w:val="left"/>
      <w:pPr>
        <w:tabs>
          <w:tab w:val="num" w:pos="0"/>
        </w:tabs>
        <w:ind w:left="1440" w:hanging="360"/>
      </w:pPr>
      <w:rPr>
        <w:rFonts w:ascii="Courier New" w:hAnsi="Courier New" w:cs="Courier New" w:hint="default"/>
      </w:rPr>
    </w:lvl>
    <w:lvl w:ilvl="2">
      <w:start w:val="0"/>
      <w:numFmt w:val="bullet"/>
      <w:lvlText w:val=""/>
      <w:lvlJc w:val="left"/>
      <w:pPr>
        <w:tabs>
          <w:tab w:val="num" w:pos="0"/>
        </w:tabs>
        <w:ind w:left="2160" w:hanging="360"/>
      </w:pPr>
      <w:rPr>
        <w:rFonts w:ascii="Wingdings" w:hAnsi="Wingdings" w:cs="Wingdings" w:hint="default"/>
      </w:rPr>
    </w:lvl>
    <w:lvl w:ilvl="3">
      <w:start w:val="0"/>
      <w:numFmt w:val="bullet"/>
      <w:lvlText w:val=""/>
      <w:lvlJc w:val="left"/>
      <w:pPr>
        <w:tabs>
          <w:tab w:val="num" w:pos="0"/>
        </w:tabs>
        <w:ind w:left="2880" w:hanging="360"/>
      </w:pPr>
      <w:rPr>
        <w:rFonts w:ascii="Symbol" w:hAnsi="Symbol" w:cs="Symbol" w:hint="default"/>
      </w:rPr>
    </w:lvl>
    <w:lvl w:ilvl="4">
      <w:start w:val="0"/>
      <w:numFmt w:val="bullet"/>
      <w:lvlText w:val="o"/>
      <w:lvlJc w:val="left"/>
      <w:pPr>
        <w:tabs>
          <w:tab w:val="num" w:pos="0"/>
        </w:tabs>
        <w:ind w:left="3600" w:hanging="360"/>
      </w:pPr>
      <w:rPr>
        <w:rFonts w:ascii="Courier New" w:hAnsi="Courier New" w:cs="Courier New" w:hint="default"/>
      </w:rPr>
    </w:lvl>
    <w:lvl w:ilvl="5">
      <w:start w:val="0"/>
      <w:numFmt w:val="bullet"/>
      <w:lvlText w:val=""/>
      <w:lvlJc w:val="left"/>
      <w:pPr>
        <w:tabs>
          <w:tab w:val="num" w:pos="0"/>
        </w:tabs>
        <w:ind w:left="4320" w:hanging="360"/>
      </w:pPr>
      <w:rPr>
        <w:rFonts w:ascii="Wingdings" w:hAnsi="Wingdings" w:cs="Wingdings" w:hint="default"/>
      </w:rPr>
    </w:lvl>
    <w:lvl w:ilvl="6">
      <w:start w:val="0"/>
      <w:numFmt w:val="bullet"/>
      <w:lvlText w:val=""/>
      <w:lvlJc w:val="left"/>
      <w:pPr>
        <w:tabs>
          <w:tab w:val="num" w:pos="0"/>
        </w:tabs>
        <w:ind w:left="5040" w:hanging="360"/>
      </w:pPr>
      <w:rPr>
        <w:rFonts w:ascii="Symbol" w:hAnsi="Symbol" w:cs="Symbol" w:hint="default"/>
      </w:rPr>
    </w:lvl>
    <w:lvl w:ilvl="7">
      <w:start w:val="0"/>
      <w:numFmt w:val="bullet"/>
      <w:lvlText w:val="o"/>
      <w:lvlJc w:val="left"/>
      <w:pPr>
        <w:tabs>
          <w:tab w:val="num" w:pos="0"/>
        </w:tabs>
        <w:ind w:left="5760" w:hanging="360"/>
      </w:pPr>
      <w:rPr>
        <w:rFonts w:ascii="Courier New" w:hAnsi="Courier New" w:cs="Courier New" w:hint="default"/>
      </w:rPr>
    </w:lvl>
    <w:lvl w:ilvl="8">
      <w:start w:val="0"/>
      <w:numFmt w:val="bullet"/>
      <w:lvlText w:val=""/>
      <w:lvlJc w:val="left"/>
      <w:pPr>
        <w:tabs>
          <w:tab w:val="num" w:pos="0"/>
        </w:tabs>
        <w:ind w:left="6480" w:hanging="360"/>
      </w:pPr>
      <w:rPr>
        <w:rFonts w:ascii="Wingdings" w:hAnsi="Wingdings" w:cs="Wingdings" w:hint="default"/>
      </w:rPr>
    </w:lvl>
  </w:abstractNum>
  <w:abstractNum w:abstractNumId="9">
    <w:lvl w:ilvl="0">
      <w:start w:val="1"/>
      <w:numFmt w:val="lowerLetter"/>
      <w:lvlText w:val="%1)"/>
      <w:lvlJc w:val="left"/>
      <w:pPr>
        <w:tabs>
          <w:tab w:val="num" w:pos="0"/>
        </w:tabs>
        <w:ind w:left="1287" w:hanging="360"/>
      </w:pPr>
      <w:rPr/>
    </w:lvl>
    <w:lvl w:ilvl="1">
      <w:start w:val="1"/>
      <w:numFmt w:val="lowerLetter"/>
      <w:lvlText w:val="%2."/>
      <w:lvlJc w:val="left"/>
      <w:pPr>
        <w:tabs>
          <w:tab w:val="num" w:pos="0"/>
        </w:tabs>
        <w:ind w:left="2007" w:hanging="360"/>
      </w:pPr>
      <w:rPr/>
    </w:lvl>
    <w:lvl w:ilvl="2">
      <w:start w:val="1"/>
      <w:numFmt w:val="lowerRoman"/>
      <w:lvlText w:val="%3."/>
      <w:lvlJc w:val="right"/>
      <w:pPr>
        <w:tabs>
          <w:tab w:val="num" w:pos="0"/>
        </w:tabs>
        <w:ind w:left="2727" w:hanging="180"/>
      </w:pPr>
      <w:rPr/>
    </w:lvl>
    <w:lvl w:ilvl="3">
      <w:start w:val="1"/>
      <w:numFmt w:val="decimal"/>
      <w:lvlText w:val="%4."/>
      <w:lvlJc w:val="left"/>
      <w:pPr>
        <w:tabs>
          <w:tab w:val="num" w:pos="0"/>
        </w:tabs>
        <w:ind w:left="3447" w:hanging="360"/>
      </w:pPr>
      <w:rPr/>
    </w:lvl>
    <w:lvl w:ilvl="4">
      <w:start w:val="1"/>
      <w:numFmt w:val="lowerLetter"/>
      <w:lvlText w:val="%5."/>
      <w:lvlJc w:val="left"/>
      <w:pPr>
        <w:tabs>
          <w:tab w:val="num" w:pos="0"/>
        </w:tabs>
        <w:ind w:left="4167" w:hanging="360"/>
      </w:pPr>
      <w:rPr/>
    </w:lvl>
    <w:lvl w:ilvl="5">
      <w:start w:val="1"/>
      <w:numFmt w:val="lowerRoman"/>
      <w:lvlText w:val="%6."/>
      <w:lvlJc w:val="right"/>
      <w:pPr>
        <w:tabs>
          <w:tab w:val="num" w:pos="0"/>
        </w:tabs>
        <w:ind w:left="4887" w:hanging="180"/>
      </w:pPr>
      <w:rPr/>
    </w:lvl>
    <w:lvl w:ilvl="6">
      <w:start w:val="1"/>
      <w:numFmt w:val="decimal"/>
      <w:lvlText w:val="%7."/>
      <w:lvlJc w:val="left"/>
      <w:pPr>
        <w:tabs>
          <w:tab w:val="num" w:pos="0"/>
        </w:tabs>
        <w:ind w:left="5607" w:hanging="360"/>
      </w:pPr>
      <w:rPr/>
    </w:lvl>
    <w:lvl w:ilvl="7">
      <w:start w:val="1"/>
      <w:numFmt w:val="lowerLetter"/>
      <w:lvlText w:val="%8."/>
      <w:lvlJc w:val="left"/>
      <w:pPr>
        <w:tabs>
          <w:tab w:val="num" w:pos="0"/>
        </w:tabs>
        <w:ind w:left="6327" w:hanging="360"/>
      </w:pPr>
      <w:rPr/>
    </w:lvl>
    <w:lvl w:ilvl="8">
      <w:start w:val="1"/>
      <w:numFmt w:val="lowerRoman"/>
      <w:lvlText w:val="%9."/>
      <w:lvlJc w:val="right"/>
      <w:pPr>
        <w:tabs>
          <w:tab w:val="num" w:pos="0"/>
        </w:tabs>
        <w:ind w:left="7047" w:hanging="180"/>
      </w:pPr>
      <w:rPr/>
    </w:lvl>
  </w:abstractNum>
  <w:abstractNum w:abstractNumId="10">
    <w:lvl w:ilvl="0">
      <w:numFmt w:val="bullet"/>
      <w:lvlText w:val=""/>
      <w:lvlJc w:val="left"/>
      <w:pPr>
        <w:tabs>
          <w:tab w:val="num" w:pos="0"/>
        </w:tabs>
        <w:ind w:left="720" w:hanging="360"/>
      </w:pPr>
      <w:rPr>
        <w:rFonts w:ascii="Symbol" w:hAnsi="Symbol" w:cs="Symbol" w:hint="default"/>
      </w:rPr>
    </w:lvl>
    <w:lvl w:ilvl="1">
      <w:start w:val="0"/>
      <w:numFmt w:val="bullet"/>
      <w:lvlText w:val="o"/>
      <w:lvlJc w:val="left"/>
      <w:pPr>
        <w:tabs>
          <w:tab w:val="num" w:pos="0"/>
        </w:tabs>
        <w:ind w:left="1440" w:hanging="360"/>
      </w:pPr>
      <w:rPr>
        <w:rFonts w:ascii="Courier New" w:hAnsi="Courier New" w:cs="Courier New" w:hint="default"/>
      </w:rPr>
    </w:lvl>
    <w:lvl w:ilvl="2">
      <w:start w:val="0"/>
      <w:numFmt w:val="bullet"/>
      <w:lvlText w:val=""/>
      <w:lvlJc w:val="left"/>
      <w:pPr>
        <w:tabs>
          <w:tab w:val="num" w:pos="0"/>
        </w:tabs>
        <w:ind w:left="2160" w:hanging="360"/>
      </w:pPr>
      <w:rPr>
        <w:rFonts w:ascii="Wingdings" w:hAnsi="Wingdings" w:cs="Wingdings" w:hint="default"/>
      </w:rPr>
    </w:lvl>
    <w:lvl w:ilvl="3">
      <w:start w:val="0"/>
      <w:numFmt w:val="bullet"/>
      <w:lvlText w:val=""/>
      <w:lvlJc w:val="left"/>
      <w:pPr>
        <w:tabs>
          <w:tab w:val="num" w:pos="0"/>
        </w:tabs>
        <w:ind w:left="2880" w:hanging="360"/>
      </w:pPr>
      <w:rPr>
        <w:rFonts w:ascii="Symbol" w:hAnsi="Symbol" w:cs="Symbol" w:hint="default"/>
      </w:rPr>
    </w:lvl>
    <w:lvl w:ilvl="4">
      <w:start w:val="0"/>
      <w:numFmt w:val="bullet"/>
      <w:lvlText w:val="o"/>
      <w:lvlJc w:val="left"/>
      <w:pPr>
        <w:tabs>
          <w:tab w:val="num" w:pos="0"/>
        </w:tabs>
        <w:ind w:left="3600" w:hanging="360"/>
      </w:pPr>
      <w:rPr>
        <w:rFonts w:ascii="Courier New" w:hAnsi="Courier New" w:cs="Courier New" w:hint="default"/>
      </w:rPr>
    </w:lvl>
    <w:lvl w:ilvl="5">
      <w:start w:val="0"/>
      <w:numFmt w:val="bullet"/>
      <w:lvlText w:val=""/>
      <w:lvlJc w:val="left"/>
      <w:pPr>
        <w:tabs>
          <w:tab w:val="num" w:pos="0"/>
        </w:tabs>
        <w:ind w:left="4320" w:hanging="360"/>
      </w:pPr>
      <w:rPr>
        <w:rFonts w:ascii="Wingdings" w:hAnsi="Wingdings" w:cs="Wingdings" w:hint="default"/>
      </w:rPr>
    </w:lvl>
    <w:lvl w:ilvl="6">
      <w:start w:val="0"/>
      <w:numFmt w:val="bullet"/>
      <w:lvlText w:val=""/>
      <w:lvlJc w:val="left"/>
      <w:pPr>
        <w:tabs>
          <w:tab w:val="num" w:pos="0"/>
        </w:tabs>
        <w:ind w:left="5040" w:hanging="360"/>
      </w:pPr>
      <w:rPr>
        <w:rFonts w:ascii="Symbol" w:hAnsi="Symbol" w:cs="Symbol" w:hint="default"/>
      </w:rPr>
    </w:lvl>
    <w:lvl w:ilvl="7">
      <w:start w:val="0"/>
      <w:numFmt w:val="bullet"/>
      <w:lvlText w:val="o"/>
      <w:lvlJc w:val="left"/>
      <w:pPr>
        <w:tabs>
          <w:tab w:val="num" w:pos="0"/>
        </w:tabs>
        <w:ind w:left="5760" w:hanging="360"/>
      </w:pPr>
      <w:rPr>
        <w:rFonts w:ascii="Courier New" w:hAnsi="Courier New" w:cs="Courier New" w:hint="default"/>
      </w:rPr>
    </w:lvl>
    <w:lvl w:ilvl="8">
      <w:start w:val="0"/>
      <w:numFmt w:val="bullet"/>
      <w:lvlText w:val=""/>
      <w:lvlJc w:val="left"/>
      <w:pPr>
        <w:tabs>
          <w:tab w:val="num" w:pos="0"/>
        </w:tabs>
        <w:ind w:left="6480" w:hanging="360"/>
      </w:pPr>
      <w:rPr>
        <w:rFonts w:ascii="Wingdings" w:hAnsi="Wingdings" w:cs="Wingdings" w:hint="default"/>
      </w:rPr>
    </w:lvl>
  </w:abstractNum>
  <w:abstractNum w:abstractNumId="11">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
      <w:lvlJc w:val="left"/>
      <w:pPr>
        <w:tabs>
          <w:tab w:val="num" w:pos="1080"/>
        </w:tabs>
        <w:ind w:left="1080" w:hanging="360"/>
      </w:pPr>
      <w:rPr>
        <w:rFonts w:ascii="Wingdings" w:hAnsi="Wingdings" w:cs="Wingdings"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1800"/>
        </w:tabs>
        <w:ind w:left="1800" w:hanging="360"/>
      </w:pPr>
      <w:rPr>
        <w:rFonts w:ascii="Wingdings" w:hAnsi="Wingdings" w:cs="Wingdings" w:hint="default"/>
      </w:rPr>
    </w:lvl>
    <w:lvl w:ilvl="4">
      <w:start w:val="1"/>
      <w:numFmt w:val="bullet"/>
      <w:lvlText w:val=""/>
      <w:lvlJc w:val="left"/>
      <w:pPr>
        <w:tabs>
          <w:tab w:val="num" w:pos="2160"/>
        </w:tabs>
        <w:ind w:left="2160" w:hanging="360"/>
      </w:pPr>
      <w:rPr>
        <w:rFonts w:ascii="Wingdings" w:hAnsi="Wingdings" w:cs="Wingdings" w:hint="default"/>
      </w:rPr>
    </w:lvl>
    <w:lvl w:ilvl="5">
      <w:start w:val="1"/>
      <w:numFmt w:val="bullet"/>
      <w:lvlText w:val=""/>
      <w:lvlJc w:val="left"/>
      <w:pPr>
        <w:tabs>
          <w:tab w:val="num" w:pos="2520"/>
        </w:tabs>
        <w:ind w:left="2520" w:hanging="360"/>
      </w:pPr>
      <w:rPr>
        <w:rFonts w:ascii="Wingdings" w:hAnsi="Wingdings" w:cs="Wingdings" w:hint="default"/>
      </w:rPr>
    </w:lvl>
    <w:lvl w:ilvl="6">
      <w:start w:val="1"/>
      <w:numFmt w:val="bullet"/>
      <w:lvlText w:val=""/>
      <w:lvlJc w:val="left"/>
      <w:pPr>
        <w:tabs>
          <w:tab w:val="num" w:pos="2880"/>
        </w:tabs>
        <w:ind w:left="2880" w:hanging="360"/>
      </w:pPr>
      <w:rPr>
        <w:rFonts w:ascii="Wingdings" w:hAnsi="Wingdings" w:cs="Wingdings" w:hint="default"/>
      </w:rPr>
    </w:lvl>
    <w:lvl w:ilvl="7">
      <w:start w:val="1"/>
      <w:numFmt w:val="bullet"/>
      <w:lvlText w:val=""/>
      <w:lvlJc w:val="left"/>
      <w:pPr>
        <w:tabs>
          <w:tab w:val="num" w:pos="3240"/>
        </w:tabs>
        <w:ind w:left="3240" w:hanging="360"/>
      </w:pPr>
      <w:rPr>
        <w:rFonts w:ascii="Wingdings" w:hAnsi="Wingdings" w:cs="Wingdings" w:hint="default"/>
      </w:rPr>
    </w:lvl>
    <w:lvl w:ilvl="8">
      <w:start w:val="1"/>
      <w:numFmt w:val="bullet"/>
      <w:lvlText w:val=""/>
      <w:lvlJc w:val="left"/>
      <w:pPr>
        <w:tabs>
          <w:tab w:val="num" w:pos="3600"/>
        </w:tabs>
        <w:ind w:left="3600" w:hanging="360"/>
      </w:pPr>
      <w:rPr>
        <w:rFonts w:ascii="Wingdings" w:hAnsi="Wingdings" w:cs="Wingdings" w:hint="default"/>
      </w:rPr>
    </w:lvl>
  </w:abstractNum>
  <w:abstractNum w:abstractNumId="1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w="http://schemas.openxmlformats.org/wordprocessingml/2006/main">
  <w:zoom w:percent="100"/>
  <w:defaultTabStop w:val="709"/>
  <w:autoHyphenation w:val="true"/>
  <w:hyphenationZone w:val="283"/>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themeFontLang w:val="it-IT"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SimSun" w:cs="Mangal"/>
        <w:kern w:val="2"/>
        <w:sz w:val="24"/>
        <w:szCs w:val="24"/>
        <w:lang w:val="it-IT" w:eastAsia="zh-CN" w:bidi="hi-IN"/>
      </w:rPr>
    </w:rPrDefault>
    <w:pPrDefault>
      <w:pPr>
        <w:suppressAutoHyphens w:val="true"/>
      </w:pPr>
    </w:pPrDefault>
  </w:docDefaults>
  <w:latentStyles w:defLockedState="0" w:defUIPriority="99" w:defSemiHidden="0" w:defUnhideWhenUsed="0" w:defQFormat="0" w:count="371">
    <w:lsdException w:name="Normal" w:uiPriority="0" w:qFormat="1"/>
    <w:lsdException w:name="heading 1" w:uiPriority="0"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pPr>
      <w:widowControl w:val="false"/>
      <w:suppressAutoHyphens w:val="true"/>
      <w:bidi w:val="0"/>
      <w:spacing w:before="0" w:after="0"/>
      <w:jc w:val="left"/>
      <w:textAlignment w:val="baseline"/>
    </w:pPr>
    <w:rPr>
      <w:rFonts w:ascii="Times New Roman" w:hAnsi="Times New Roman" w:eastAsia="SimSun" w:cs="Mangal"/>
      <w:color w:val="auto"/>
      <w:kern w:val="2"/>
      <w:sz w:val="24"/>
      <w:szCs w:val="24"/>
      <w:lang w:val="it-IT" w:eastAsia="zh-CN" w:bidi="hi-IN"/>
    </w:rPr>
  </w:style>
  <w:style w:type="paragraph" w:styleId="Heading1">
    <w:name w:val="Heading 1"/>
    <w:basedOn w:val="Titolo"/>
    <w:next w:val="Textbody"/>
    <w:qFormat/>
    <w:rsid w:val="00bf2b16"/>
    <w:pPr>
      <w:pageBreakBefore/>
      <w:widowControl/>
      <w:numPr>
        <w:ilvl w:val="0"/>
        <w:numId w:val="1"/>
      </w:numPr>
      <w:suppressLineNumbers/>
      <w:snapToGrid w:val="false"/>
      <w:spacing w:before="120" w:after="0"/>
      <w:jc w:val="both"/>
      <w:outlineLvl w:val="0"/>
    </w:pPr>
    <w:rPr>
      <w:rFonts w:ascii="Aptos" w:hAnsi="Aptos" w:eastAsia="Calibri" w:cs="Aptos" w:asciiTheme="minorHAnsi" w:cstheme="minorHAnsi" w:hAnsiTheme="minorHAnsi"/>
      <w:b/>
      <w:color w:val="000000"/>
      <w:sz w:val="32"/>
      <w:szCs w:val="32"/>
      <w:lang w:bidi="ar-SA"/>
    </w:rPr>
  </w:style>
  <w:style w:type="paragraph" w:styleId="Heading2">
    <w:name w:val="Heading 2"/>
    <w:basedOn w:val="Titolo"/>
    <w:next w:val="Textbody"/>
    <w:uiPriority w:val="9"/>
    <w:unhideWhenUsed/>
    <w:qFormat/>
    <w:rsid w:val="00bf2b16"/>
    <w:pPr>
      <w:pageBreakBefore/>
      <w:widowControl/>
      <w:numPr>
        <w:ilvl w:val="1"/>
        <w:numId w:val="1"/>
      </w:numPr>
      <w:suppressLineNumbers/>
      <w:snapToGrid w:val="false"/>
      <w:spacing w:before="120" w:after="0"/>
      <w:ind w:hanging="340" w:left="340"/>
      <w:jc w:val="both"/>
      <w:outlineLvl w:val="1"/>
    </w:pPr>
    <w:rPr>
      <w:rFonts w:ascii="Aptos" w:hAnsi="Aptos" w:eastAsia="Calibri" w:cs="Aptos" w:asciiTheme="minorHAnsi" w:cstheme="minorHAnsi" w:hAnsiTheme="minorHAnsi"/>
      <w:b/>
      <w:color w:val="000000"/>
      <w:lang w:bidi="ar-SA"/>
    </w:rPr>
  </w:style>
  <w:style w:type="paragraph" w:styleId="Heading3">
    <w:name w:val="Heading 3"/>
    <w:basedOn w:val="Titolo"/>
    <w:next w:val="Textbody"/>
    <w:uiPriority w:val="9"/>
    <w:semiHidden/>
    <w:unhideWhenUsed/>
    <w:qFormat/>
    <w:pPr>
      <w:spacing w:before="140" w:after="120"/>
      <w:outlineLvl w:val="2"/>
    </w:pPr>
    <w:rPr>
      <w:b/>
      <w:bCs/>
    </w:rPr>
  </w:style>
  <w:style w:type="character" w:styleId="DefaultParagraphFont" w:default="1">
    <w:name w:val="Default Paragraph Font"/>
    <w:uiPriority w:val="1"/>
    <w:semiHidden/>
    <w:unhideWhenUsed/>
    <w:qFormat/>
    <w:rPr/>
  </w:style>
  <w:style w:type="character" w:styleId="WW8Num18z0" w:customStyle="1">
    <w:name w:val="WW8Num18z0"/>
    <w:qFormat/>
    <w:rPr>
      <w:rFonts w:ascii="Symbol" w:hAnsi="Symbol" w:eastAsia="Symbol" w:cs="Symbol"/>
    </w:rPr>
  </w:style>
  <w:style w:type="character" w:styleId="WW8Num18z1" w:customStyle="1">
    <w:name w:val="WW8Num18z1"/>
    <w:qFormat/>
    <w:rPr>
      <w:rFonts w:ascii="Courier New" w:hAnsi="Courier New" w:eastAsia="Courier New" w:cs="Courier New"/>
    </w:rPr>
  </w:style>
  <w:style w:type="character" w:styleId="WW8Num18z2" w:customStyle="1">
    <w:name w:val="WW8Num18z2"/>
    <w:qFormat/>
    <w:rPr>
      <w:rFonts w:ascii="Wingdings" w:hAnsi="Wingdings" w:eastAsia="Wingdings" w:cs="Wingdings"/>
    </w:rPr>
  </w:style>
  <w:style w:type="character" w:styleId="Punti" w:customStyle="1">
    <w:name w:val="Punti"/>
    <w:qFormat/>
    <w:rPr>
      <w:rFonts w:ascii="OpenSymbol" w:hAnsi="OpenSymbol" w:eastAsia="OpenSymbol" w:cs="OpenSymbol"/>
    </w:rPr>
  </w:style>
  <w:style w:type="character" w:styleId="Internetlink" w:customStyle="1">
    <w:name w:val="Internet link"/>
    <w:qFormat/>
    <w:rPr>
      <w:color w:val="000080"/>
      <w:u w:val="single"/>
    </w:rPr>
  </w:style>
  <w:style w:type="character" w:styleId="Saltoaindice" w:customStyle="1">
    <w:name w:val="Salto a indice"/>
    <w:qFormat/>
    <w:rPr/>
  </w:style>
  <w:style w:type="character" w:styleId="RTFNum31" w:customStyle="1">
    <w:name w:val="RTF_Num 3 1"/>
    <w:qFormat/>
    <w:rPr>
      <w:rFonts w:ascii="Symbol" w:hAnsi="Symbol" w:eastAsia="Symbol" w:cs="Symbol"/>
    </w:rPr>
  </w:style>
  <w:style w:type="character" w:styleId="FigureTabelleCarattere" w:customStyle="1">
    <w:name w:val="FigureTabelle Carattere"/>
    <w:basedOn w:val="DefaultParagraphFont"/>
    <w:link w:val="FigureTabelle"/>
    <w:qFormat/>
    <w:rsid w:val="00bf2b16"/>
    <w:rPr>
      <w:i/>
      <w:sz w:val="20"/>
    </w:rPr>
  </w:style>
  <w:style w:type="character" w:styleId="NormaleCorpoCarattere" w:customStyle="1">
    <w:name w:val="NormaleCorpo Carattere"/>
    <w:basedOn w:val="DefaultParagraphFont"/>
    <w:link w:val="NormaleCorpo"/>
    <w:qFormat/>
    <w:rsid w:val="00ec4d2c"/>
    <w:rPr>
      <w:lang w:eastAsia="hi-IN"/>
    </w:rPr>
  </w:style>
  <w:style w:type="character" w:styleId="Hyperlink">
    <w:name w:val="Hyperlink"/>
    <w:basedOn w:val="DefaultParagraphFont"/>
    <w:uiPriority w:val="99"/>
    <w:unhideWhenUsed/>
    <w:rsid w:val="00ec4d2c"/>
    <w:rPr>
      <w:color w:themeColor="hyperlink" w:val="467886"/>
      <w:u w:val="single"/>
    </w:rPr>
  </w:style>
  <w:style w:type="paragraph" w:styleId="Titolo" w:customStyle="1">
    <w:name w:val="Titolo"/>
    <w:basedOn w:val="Standard"/>
    <w:next w:val="Textbody"/>
    <w:qFormat/>
    <w:pPr>
      <w:keepNext w:val="true"/>
      <w:spacing w:before="240" w:after="120"/>
    </w:pPr>
    <w:rPr>
      <w:rFonts w:ascii="Arial" w:hAnsi="Arial" w:eastAsia="Microsoft YaHei"/>
      <w:sz w:val="28"/>
      <w:szCs w:val="28"/>
    </w:rPr>
  </w:style>
  <w:style w:type="paragraph" w:styleId="BodyText">
    <w:name w:val="Body Text"/>
    <w:basedOn w:val="Normal"/>
    <w:pPr>
      <w:spacing w:lineRule="auto" w:line="276" w:before="0" w:after="140"/>
    </w:pPr>
    <w:rPr/>
  </w:style>
  <w:style w:type="paragraph" w:styleId="List">
    <w:name w:val="List"/>
    <w:basedOn w:val="Textbody"/>
    <w:pPr/>
    <w:rPr/>
  </w:style>
  <w:style w:type="paragraph" w:styleId="Caption">
    <w:name w:val="Caption"/>
    <w:basedOn w:val="Normal"/>
    <w:qFormat/>
    <w:pPr>
      <w:suppressLineNumbers/>
      <w:spacing w:before="120" w:after="120"/>
    </w:pPr>
    <w:rPr>
      <w:rFonts w:ascii="Calibri" w:hAnsi="Calibri" w:cs="Arial"/>
      <w:i/>
      <w:iCs/>
      <w:sz w:val="24"/>
      <w:szCs w:val="24"/>
    </w:rPr>
  </w:style>
  <w:style w:type="paragraph" w:styleId="Indice" w:customStyle="1">
    <w:name w:val="Indice"/>
    <w:basedOn w:val="Standard"/>
    <w:qFormat/>
    <w:pPr>
      <w:suppressLineNumbers/>
    </w:pPr>
    <w:rPr/>
  </w:style>
  <w:style w:type="paragraph" w:styleId="Standard" w:customStyle="1">
    <w:name w:val="Standard"/>
    <w:qFormat/>
    <w:pPr>
      <w:widowControl w:val="false"/>
      <w:suppressAutoHyphens w:val="true"/>
      <w:bidi w:val="0"/>
      <w:spacing w:before="0" w:after="0"/>
      <w:jc w:val="left"/>
      <w:textAlignment w:val="baseline"/>
    </w:pPr>
    <w:rPr>
      <w:rFonts w:ascii="Times New Roman" w:hAnsi="Times New Roman" w:eastAsia="SimSun" w:cs="Mangal"/>
      <w:color w:val="auto"/>
      <w:kern w:val="2"/>
      <w:sz w:val="24"/>
      <w:szCs w:val="24"/>
      <w:lang w:val="it-IT" w:eastAsia="zh-CN" w:bidi="hi-IN"/>
    </w:rPr>
  </w:style>
  <w:style w:type="paragraph" w:styleId="Textbody" w:customStyle="1">
    <w:name w:val="Text body"/>
    <w:basedOn w:val="Standard"/>
    <w:qFormat/>
    <w:pPr>
      <w:spacing w:before="0" w:after="120"/>
    </w:pPr>
    <w:rPr/>
  </w:style>
  <w:style w:type="paragraph" w:styleId="Caption1">
    <w:name w:val="caption1"/>
    <w:basedOn w:val="Standard"/>
    <w:qFormat/>
    <w:pPr>
      <w:suppressLineNumbers/>
      <w:spacing w:before="120" w:after="120"/>
    </w:pPr>
    <w:rPr>
      <w:i/>
      <w:iCs/>
    </w:rPr>
  </w:style>
  <w:style w:type="paragraph" w:styleId="Contenutotabella" w:customStyle="1">
    <w:name w:val="Contenuto tabella"/>
    <w:basedOn w:val="Standard"/>
    <w:qFormat/>
    <w:pPr>
      <w:suppressLineNumbers/>
    </w:pPr>
    <w:rPr/>
  </w:style>
  <w:style w:type="paragraph" w:styleId="Intestazioneepidipagina">
    <w:name w:val="Intestazione e piè di pagina"/>
    <w:basedOn w:val="Normal"/>
    <w:qFormat/>
    <w:pPr/>
    <w:rPr/>
  </w:style>
  <w:style w:type="paragraph" w:styleId="Header">
    <w:name w:val="Header"/>
    <w:basedOn w:val="Standard"/>
    <w:pPr>
      <w:tabs>
        <w:tab w:val="clear" w:pos="709"/>
        <w:tab w:val="center" w:pos="4819" w:leader="none"/>
        <w:tab w:val="right" w:pos="9638" w:leader="none"/>
      </w:tabs>
    </w:pPr>
    <w:rPr/>
  </w:style>
  <w:style w:type="paragraph" w:styleId="Footer">
    <w:name w:val="Footer"/>
    <w:basedOn w:val="Standard"/>
    <w:pPr>
      <w:suppressLineNumbers/>
      <w:tabs>
        <w:tab w:val="clear" w:pos="709"/>
        <w:tab w:val="center" w:pos="4819" w:leader="none"/>
        <w:tab w:val="right" w:pos="9638" w:leader="none"/>
      </w:tabs>
    </w:pPr>
    <w:rPr/>
  </w:style>
  <w:style w:type="paragraph" w:styleId="ContentsHeading" w:customStyle="1">
    <w:name w:val="Contents Heading"/>
    <w:basedOn w:val="Titolo"/>
    <w:qFormat/>
    <w:pPr>
      <w:suppressLineNumbers/>
      <w:spacing w:before="0" w:after="0"/>
    </w:pPr>
    <w:rPr>
      <w:b/>
      <w:bCs/>
      <w:sz w:val="32"/>
      <w:szCs w:val="32"/>
    </w:rPr>
  </w:style>
  <w:style w:type="paragraph" w:styleId="Contents1" w:customStyle="1">
    <w:name w:val="Contents 1"/>
    <w:basedOn w:val="Indice"/>
    <w:qFormat/>
    <w:pPr>
      <w:tabs>
        <w:tab w:val="clear" w:pos="709"/>
        <w:tab w:val="right" w:pos="9638" w:leader="dot"/>
      </w:tabs>
    </w:pPr>
    <w:rPr/>
  </w:style>
  <w:style w:type="paragraph" w:styleId="Indexheading1">
    <w:name w:val="index heading1"/>
    <w:basedOn w:val="Titolo"/>
    <w:qFormat/>
    <w:pPr>
      <w:suppressLineNumbers/>
      <w:spacing w:before="0" w:after="0"/>
    </w:pPr>
    <w:rPr>
      <w:b/>
      <w:bCs/>
      <w:sz w:val="32"/>
      <w:szCs w:val="32"/>
    </w:rPr>
  </w:style>
  <w:style w:type="paragraph" w:styleId="Citazioneinblocco" w:customStyle="1">
    <w:name w:val="Citazione in blocco"/>
    <w:basedOn w:val="Standard"/>
    <w:qFormat/>
    <w:pPr>
      <w:spacing w:before="0" w:after="283"/>
      <w:ind w:left="567" w:right="567"/>
    </w:pPr>
    <w:rPr/>
  </w:style>
  <w:style w:type="paragraph" w:styleId="Title">
    <w:name w:val="Title"/>
    <w:basedOn w:val="Titolo"/>
    <w:next w:val="Textbody"/>
    <w:uiPriority w:val="10"/>
    <w:qFormat/>
    <w:pPr>
      <w:jc w:val="center"/>
    </w:pPr>
    <w:rPr>
      <w:b/>
      <w:bCs/>
      <w:sz w:val="56"/>
      <w:szCs w:val="56"/>
    </w:rPr>
  </w:style>
  <w:style w:type="paragraph" w:styleId="Subtitle">
    <w:name w:val="Subtitle"/>
    <w:basedOn w:val="Titolo"/>
    <w:next w:val="Textbody"/>
    <w:uiPriority w:val="11"/>
    <w:qFormat/>
    <w:pPr>
      <w:spacing w:before="60" w:after="120"/>
      <w:jc w:val="center"/>
    </w:pPr>
    <w:rPr>
      <w:sz w:val="36"/>
      <w:szCs w:val="36"/>
    </w:rPr>
  </w:style>
  <w:style w:type="paragraph" w:styleId="Titolodeliberaz" w:customStyle="1">
    <w:name w:val="titolo deliberaz"/>
    <w:basedOn w:val="Standard"/>
    <w:next w:val="Standard"/>
    <w:qFormat/>
    <w:pPr>
      <w:suppressAutoHyphens w:val="false"/>
      <w:spacing w:lineRule="exact" w:line="360" w:before="480" w:after="480"/>
      <w:jc w:val="center"/>
    </w:pPr>
    <w:rPr>
      <w:rFonts w:ascii="Futura Std Book" w:hAnsi="Futura Std Book" w:eastAsia="Futura Std Book" w:cs="Times New Roman"/>
      <w:b/>
      <w:sz w:val="18"/>
      <w:szCs w:val="20"/>
    </w:rPr>
  </w:style>
  <w:style w:type="paragraph" w:styleId="FigureTabelle" w:customStyle="1">
    <w:name w:val="FigureTabelle"/>
    <w:basedOn w:val="Normal"/>
    <w:link w:val="FigureTabelleCarattere"/>
    <w:qFormat/>
    <w:rsid w:val="00bf2b16"/>
    <w:pPr>
      <w:jc w:val="center"/>
    </w:pPr>
    <w:rPr>
      <w:i/>
      <w:sz w:val="20"/>
    </w:rPr>
  </w:style>
  <w:style w:type="paragraph" w:styleId="NormaleCorpo" w:customStyle="1">
    <w:name w:val="NormaleCorpo"/>
    <w:basedOn w:val="Normal"/>
    <w:link w:val="NormaleCorpoCarattere"/>
    <w:qFormat/>
    <w:rsid w:val="00ec4d2c"/>
    <w:pPr>
      <w:spacing w:before="240" w:after="0"/>
      <w:jc w:val="both"/>
    </w:pPr>
    <w:rPr>
      <w:lang w:eastAsia="hi-IN"/>
    </w:rPr>
  </w:style>
  <w:style w:type="paragraph" w:styleId="IndexHeading">
    <w:name w:val="Index Heading"/>
    <w:basedOn w:val="Titolo"/>
    <w:pPr/>
    <w:rPr/>
  </w:style>
  <w:style w:type="paragraph" w:styleId="TOCHeading">
    <w:name w:val="TOC Heading"/>
    <w:basedOn w:val="Heading1"/>
    <w:next w:val="Normal"/>
    <w:uiPriority w:val="39"/>
    <w:unhideWhenUsed/>
    <w:qFormat/>
    <w:rsid w:val="00ec4d2c"/>
    <w:pPr>
      <w:keepLines/>
      <w:pageBreakBefore w:val="false"/>
      <w:numPr>
        <w:ilvl w:val="0"/>
        <w:numId w:val="0"/>
      </w:numPr>
      <w:suppressAutoHyphens w:val="false"/>
      <w:snapToGrid w:val="true"/>
      <w:spacing w:lineRule="auto" w:line="259" w:before="240" w:after="0"/>
      <w:jc w:val="left"/>
      <w:textAlignment w:val="auto"/>
      <w:outlineLvl w:val="9"/>
    </w:pPr>
    <w:rPr>
      <w:rFonts w:ascii="Aptos Display" w:hAnsi="Aptos Display" w:eastAsia="" w:cs="" w:asciiTheme="majorHAnsi" w:cstheme="majorBidi" w:eastAsiaTheme="majorEastAsia" w:hAnsiTheme="majorHAnsi"/>
      <w:b w:val="false"/>
      <w:color w:themeColor="accent1" w:themeShade="bf" w:val="0F4761"/>
      <w:kern w:val="0"/>
      <w:lang w:eastAsia="it-IT"/>
    </w:rPr>
  </w:style>
  <w:style w:type="paragraph" w:styleId="TOC1">
    <w:name w:val="TOC 1"/>
    <w:basedOn w:val="Normal"/>
    <w:next w:val="Normal"/>
    <w:autoRedefine/>
    <w:uiPriority w:val="39"/>
    <w:unhideWhenUsed/>
    <w:rsid w:val="00ec4d2c"/>
    <w:pPr>
      <w:spacing w:before="0" w:after="100"/>
    </w:pPr>
    <w:rPr>
      <w:szCs w:val="21"/>
    </w:rPr>
  </w:style>
  <w:style w:type="paragraph" w:styleId="TOC2">
    <w:name w:val="TOC 2"/>
    <w:basedOn w:val="Normal"/>
    <w:next w:val="Normal"/>
    <w:autoRedefine/>
    <w:uiPriority w:val="39"/>
    <w:unhideWhenUsed/>
    <w:rsid w:val="00ec4d2c"/>
    <w:pPr>
      <w:spacing w:before="0" w:after="100"/>
      <w:ind w:left="240"/>
    </w:pPr>
    <w:rPr>
      <w:szCs w:val="21"/>
    </w:rPr>
  </w:style>
  <w:style w:type="paragraph" w:styleId="TableParagraph" w:customStyle="1">
    <w:name w:val="Table Paragraph"/>
    <w:basedOn w:val="Normal"/>
    <w:uiPriority w:val="1"/>
    <w:qFormat/>
    <w:rsid w:val="00394763"/>
    <w:pPr>
      <w:suppressAutoHyphens w:val="false"/>
      <w:spacing w:before="117" w:after="0"/>
      <w:ind w:left="70"/>
      <w:textAlignment w:val="auto"/>
    </w:pPr>
    <w:rPr>
      <w:rFonts w:ascii="Arial MT" w:hAnsi="Arial MT" w:eastAsia="Arial MT" w:cs="Arial MT"/>
      <w:kern w:val="0"/>
      <w:sz w:val="22"/>
      <w:szCs w:val="22"/>
      <w:lang w:eastAsia="en-US" w:bidi="ar-SA"/>
    </w:rPr>
  </w:style>
  <w:style w:type="paragraph" w:styleId="ListParagraph">
    <w:name w:val="List Paragraph"/>
    <w:basedOn w:val="Normal"/>
    <w:qFormat/>
    <w:rsid w:val="00571de9"/>
    <w:pPr>
      <w:widowControl/>
      <w:spacing w:lineRule="atLeast" w:line="283"/>
      <w:ind w:left="708"/>
      <w:jc w:val="both"/>
    </w:pPr>
    <w:rPr>
      <w:rFonts w:ascii="Arial" w:hAnsi="Arial" w:eastAsia="Times New Roman" w:cs="Arial"/>
      <w:sz w:val="20"/>
      <w:szCs w:val="20"/>
      <w:lang w:bidi="ar-SA"/>
    </w:rPr>
  </w:style>
  <w:style w:type="paragraph" w:styleId="Oggetto" w:customStyle="1">
    <w:name w:val="Oggetto"/>
    <w:basedOn w:val="Standard"/>
    <w:qFormat/>
    <w:rsid w:val="00571de9"/>
    <w:pPr>
      <w:spacing w:lineRule="auto" w:line="288" w:before="120" w:after="0"/>
      <w:ind w:hanging="851" w:left="851"/>
    </w:pPr>
    <w:rPr>
      <w:b/>
    </w:rPr>
  </w:style>
  <w:style w:type="numbering" w:styleId="NoList" w:default="1">
    <w:name w:val="No List"/>
    <w:uiPriority w:val="99"/>
    <w:semiHidden/>
    <w:unhideWhenUsed/>
    <w:qFormat/>
  </w:style>
  <w:style w:type="numbering" w:styleId="WW8Num18" w:customStyle="1">
    <w:name w:val="WW8Num18"/>
    <w:qFormat/>
  </w:style>
  <w:style w:type="numbering" w:styleId="RTFNum3" w:customStyle="1">
    <w:name w:val="RTF_Num 3"/>
    <w:qFormat/>
  </w:style>
  <w:style w:type="table" w:default="1" w:styleId="Tabellanormale">
    <w:name w:val="Normal Table"/>
    <w:uiPriority w:val="99"/>
    <w:semiHidden/>
    <w:unhideWhenUsed/>
    <w:tblPr>
      <w:tblCellMar>
        <w:top w:w="0" w:type="dxa"/>
        <w:left w:w="108" w:type="dxa"/>
        <w:bottom w:w="0" w:type="dxa"/>
        <w:right w:w="108" w:type="dxa"/>
      </w:tblCellMar>
    </w:tblPr>
  </w:style>
  <w:style w:type="table" w:customStyle="1" w:styleId="TableNormal">
    <w:name w:val="Table Normal"/>
    <w:uiPriority w:val="2"/>
    <w:semiHidden/>
    <w:unhideWhenUsed/>
    <w:qFormat/>
    <w:rsid w:val="00394763"/>
    <w:rPr>
      <w:rFonts w:asciiTheme="minorHAnsi" w:hAnsiTheme="minorHAnsi" w:eastAsiaTheme="minorHAnsi" w:cstheme="minorBidi"/>
      <w:lang w:val="en-US" w:eastAsia="en-US" w:bidi="ar-SA"/>
      <w:sz w:val="22"/>
      <w:szCs w:val="22"/>
    </w:rPr>
    <w:tblPr>
      <w:tblCellMar>
        <w:top w:w="0" w:type="dxa"/>
        <w:left w:w="0" w:type="dxa"/>
        <w:bottom w:w="0" w:type="dxa"/>
        <w:right w:w="0" w:type="dxa"/>
      </w:tblCellMar>
    </w:tblPr>
  </w:style>
  <w:style w:type="table" w:styleId="Tabellagriglia4-colore6">
    <w:name w:val="Grid Table 4 Accent 6"/>
    <w:basedOn w:val="Tabellanormale"/>
    <w:uiPriority w:val="49"/>
    <w:rsid w:val="00f6376c"/>
    <w:rPr>
      <w:lang w:eastAsia="it-IT" w:bidi="ar-SA"/>
      <w:sz w:val="20"/>
      <w:szCs w:val="20"/>
    </w:rPr>
    <w:tblPr>
      <w:tblStyleRowBandSize w:val="1"/>
      <w:tblStyleColBandSize w:val="1"/>
      <w:tblBorders>
        <w:top w:val="single" w:color="A8D08D" w:sz="4" w:space="0"/>
        <w:left w:val="single" w:color="A8D08D" w:sz="4" w:space="0"/>
        <w:bottom w:val="single" w:color="A8D08D" w:sz="4" w:space="0"/>
        <w:right w:val="single" w:color="A8D08D" w:sz="4" w:space="0"/>
        <w:insideH w:val="single" w:color="A8D08D" w:sz="4" w:space="0"/>
        <w:insideV w:val="single" w:color="A8D08D" w:sz="4" w:space="0"/>
      </w:tblBorders>
    </w:tblPr>
    <w:tblStylePr w:type="firstRow">
      <w:rPr>
        <w:b/>
        <w:bCs/>
      </w:rPr>
      <w:tblPr/>
      <w:tcPr>
        <w:tcBorders>
          <w:top w:val="single" w:color="70AD47" w:sz="4" w:space="0"/>
          <w:left w:val="single" w:color="70AD47" w:sz="4" w:space="0"/>
          <w:bottom w:val="single" w:color="70AD47" w:sz="4" w:space="0"/>
          <w:right w:val="single" w:color="70AD47" w:sz="4" w:space="0"/>
          <w:insideH w:val="nil"/>
          <w:insideV w:val="nil"/>
        </w:tcBorders>
        <w:shd w:val="clear" w:color="auto" w:fill="70AD47"/>
      </w:tcPr>
    </w:tblStylePr>
    <w:tblStylePr w:type="lastRow">
      <w:rPr>
        <w:b/>
        <w:bCs/>
      </w:rPr>
      <w:tblPr/>
      <w:tcPr>
        <w:tcBorders>
          <w:top w:val="double" w:color="70AD47" w:sz="4" w:space="0"/>
        </w:tcBorders>
      </w:tcPr>
    </w:tblStylePr>
    <w:tblStylePr w:type="firstCol">
      <w:rPr>
        <w:b/>
        <w:bCs/>
      </w:rPr>
      <w:tblPr/>
    </w:tblStylePr>
    <w:tblStylePr w:type="lastCol">
      <w:rPr>
        <w:b/>
        <w:bCs/>
      </w:rPr>
      <w:tblPr/>
    </w:tblStylePr>
    <w:tblStylePr w:type="band1Vert">
      <w:tblPr/>
      <w:tcPr>
        <w:shd w:val="clear" w:color="auto" w:fill="E2EFD9"/>
      </w:tcPr>
    </w:tblStylePr>
    <w:tblStylePr w:type="band1Horz">
      <w:tblPr/>
      <w:tcPr>
        <w:shd w:val="clear" w:color="auto" w:fill="E2EFD9"/>
      </w:tcPr>
    </w:tblStylePr>
  </w:style>
  <w:style w:type="table" w:styleId="Tabellagriglia5scura-colore6">
    <w:name w:val="Grid Table 5 Dark Accent 6"/>
    <w:basedOn w:val="Tabellanormale"/>
    <w:uiPriority w:val="50"/>
    <w:rsid w:val="00571de9"/>
    <w:tblPr>
      <w:tblStyleRowBandSize w:val="1"/>
      <w:tblStyleColBandSize w:val="1"/>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D9F2D0" w:themeFill="accent6" w:themeFillTint="33"/>
    </w:tcPr>
    <w:tblStylePr w:type="firstRow">
      <w:rPr>
        <w:b/>
        <w:bCs/>
        <w:color w:themeColor="background1"/>
      </w:rPr>
      <w:tbl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4EA72E" w:themeFill="accent6"/>
      </w:tcPr>
    </w:tblStylePr>
    <w:tblStylePr w:type="lastRow">
      <w:rPr>
        <w:b/>
        <w:bCs/>
        <w:color w:themeColor="background1"/>
      </w:rPr>
      <w:tbl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4EA72E" w:themeFill="accent6"/>
      </w:tcPr>
    </w:tblStylePr>
    <w:tblStylePr w:type="firstCol">
      <w:rPr>
        <w:b/>
        <w:bCs/>
        <w:color w:themeColor="background1"/>
      </w:rPr>
      <w:tblPr/>
      <w:tcPr>
        <w:tcBorders>
          <w:top w:val="single" w:color="FFFFFF" w:themeColor="background1" w:sz="4" w:space="0"/>
          <w:left w:val="single" w:color="FFFFFF" w:themeColor="background1" w:sz="4" w:space="0"/>
          <w:bottom w:val="single" w:color="FFFFFF" w:themeColor="background1" w:sz="4" w:space="0"/>
          <w:insideV w:val="nil"/>
        </w:tcBorders>
        <w:shd w:val="clear" w:color="auto" w:fill="4EA72E" w:themeFill="accent6"/>
      </w:tcPr>
    </w:tblStylePr>
    <w:tblStylePr w:type="lastCol">
      <w:rPr>
        <w:b/>
        <w:bCs/>
        <w:color w:themeColor="background1"/>
      </w:rPr>
      <w:tblPr/>
      <w:tcPr>
        <w:tcBorders>
          <w:top w:val="single" w:color="FFFFFF" w:themeColor="background1" w:sz="4" w:space="0"/>
          <w:bottom w:val="single" w:color="FFFFFF" w:themeColor="background1" w:sz="4" w:space="0"/>
          <w:right w:val="single" w:color="FFFFFF" w:themeColor="background1" w:sz="4" w:space="0"/>
          <w:insideV w:val="nil"/>
        </w:tcBorders>
        <w:shd w:val="clear" w:color="auto" w:fill="4EA72E" w:themeFill="accent6"/>
      </w:tcPr>
    </w:tblStylePr>
    <w:tblStylePr w:type="band1Vert">
      <w:tblPr/>
      <w:tcPr>
        <w:shd w:val="clear" w:color="auto" w:fill="B3E5A1" w:themeFill="accent6" w:themeFillTint="66"/>
      </w:tcPr>
    </w:tblStylePr>
    <w:tblStylePr w:type="band1Horz">
      <w:tblPr/>
      <w:tcPr>
        <w:shd w:val="clear" w:color="auto" w:fill="B3E5A1" w:themeFill="accent6" w:themeFillTint="66"/>
      </w:tcPr>
    </w:tblStyle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wmf"/><Relationship Id="rId4" Type="http://schemas.openxmlformats.org/officeDocument/2006/relationships/image" Target="media/image3.wmf"/><Relationship Id="rId5" Type="http://schemas.openxmlformats.org/officeDocument/2006/relationships/image" Target="media/image4.wmf"/><Relationship Id="rId6" Type="http://schemas.openxmlformats.org/officeDocument/2006/relationships/image" Target="media/image5.wmf"/><Relationship Id="rId7" Type="http://schemas.openxmlformats.org/officeDocument/2006/relationships/hyperlink" Target="mailto:protocollo@pec.cittametropolitanacagliari.it" TargetMode="External"/><Relationship Id="rId8" Type="http://schemas.openxmlformats.org/officeDocument/2006/relationships/hyperlink" Target="mailto:osservazionipda@cittametropolitanacagliari.it" TargetMode="External"/><Relationship Id="rId9" Type="http://schemas.openxmlformats.org/officeDocument/2006/relationships/hyperlink" Target="https://istanze.cittametropolitanacagliari.it/portal/servizi/moduli/pre_auth" TargetMode="External"/><Relationship Id="rId10" Type="http://schemas.openxmlformats.org/officeDocument/2006/relationships/header" Target="header1.xml"/><Relationship Id="rId11" Type="http://schemas.openxmlformats.org/officeDocument/2006/relationships/footer" Target="footer1.xml"/><Relationship Id="rId12" Type="http://schemas.openxmlformats.org/officeDocument/2006/relationships/numbering" Target="numbering.xml"/><Relationship Id="rId13" Type="http://schemas.openxmlformats.org/officeDocument/2006/relationships/fontTable" Target="fontTable.xml"/><Relationship Id="rId14" Type="http://schemas.openxmlformats.org/officeDocument/2006/relationships/settings" Target="settings.xml"/><Relationship Id="rId15" Type="http://schemas.openxmlformats.org/officeDocument/2006/relationships/theme" Target="theme/theme1.xml"/><Relationship Id="rId16" Type="http://schemas.openxmlformats.org/officeDocument/2006/relationships/customXml" Target="../customXml/item1.xml"/>
</Relationships>
</file>

<file path=word/_rels/header1.xml.rels><?xml version="1.0" encoding="UTF-8"?>
<Relationships xmlns="http://schemas.openxmlformats.org/package/2006/relationships"><Relationship Id="rId1" Type="http://schemas.openxmlformats.org/officeDocument/2006/relationships/image" Target="media/image6.png"/><Relationship Id="rId2" Type="http://schemas.openxmlformats.org/officeDocument/2006/relationships/image" Target="media/image7.png"/>
</Relationships>
</file>

<file path=word/theme/theme1.xml><?xml version="1.0" encoding="utf-8"?>
<a:theme xmlns:a="http://schemas.openxmlformats.org/drawingml/2006/main" xmlns:r="http://schemas.openxmlformats.org/officeDocument/2006/relationships" name="Tema di Office">
  <a:themeElements>
    <a:clrScheme name="Office">
      <a:dk1>
        <a:srgbClr val="000000"/>
      </a:dk1>
      <a:lt1>
        <a:srgbClr val="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pitchFamily="0" charset="1"/>
        <a:ea typeface=""/>
        <a:cs typeface=""/>
      </a:majorFont>
      <a:minorFont>
        <a:latin typeface="Aptos" panose="02110004020202020204" pitchFamily="0" charset="1"/>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l="0" t="0" r="0" b="0"/>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l="0" t="0" r="0" b="0"/>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l="0" t="0" r="0" b="0"/>
        </a:gradFill>
      </a:bgFillStyleLst>
    </a:fmtScheme>
  </a:themeElements>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AA0247-10DF-4F5E-B164-DCEDB48EAD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Application>LibreOffice/7.6.7.2$Windows_X86_64 LibreOffice_project/dd47e4b30cb7dab30588d6c79c651f218165e3c5</Application>
  <AppVersion>15.0000</AppVersion>
  <Pages>18</Pages>
  <Words>3691</Words>
  <Characters>21950</Characters>
  <CharactersWithSpaces>25086</CharactersWithSpaces>
  <Paragraphs>547</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2024-12-12T20:28:00Z</dcterms:created>
  <dc:creator>Tino5</dc:creator>
  <dc:description/>
  <dc:language>it-IT</dc:language>
  <cp:lastModifiedBy>Alberto</cp:lastModifiedBy>
  <cp:lastPrinted>2024-07-18T10:16:00Z</cp:lastPrinted>
  <dcterms:modified xsi:type="dcterms:W3CDTF">2024-12-13T12:01:47Z</dcterms:modified>
  <cp:revision>4</cp:revision>
  <dc:subject/>
  <dc:title/>
</cp:coreProperties>
</file>

<file path=docProps/custom.xml><?xml version="1.0" encoding="utf-8"?>
<Properties xmlns="http://schemas.openxmlformats.org/officeDocument/2006/custom-properties" xmlns:vt="http://schemas.openxmlformats.org/officeDocument/2006/docPropsVTypes"/>
</file>